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198C"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r w:rsidRPr="00F57CCD">
        <w:rPr>
          <w:rFonts w:eastAsia="Times New Roman" w:cs="Times New Roman"/>
          <w:b/>
          <w:bCs/>
          <w:kern w:val="0"/>
          <w:szCs w:val="24"/>
          <w:lang w:eastAsia="en-AU"/>
          <w14:ligatures w14:val="none"/>
        </w:rPr>
        <w:t>Note 1:</w:t>
      </w:r>
      <w:r w:rsidRPr="00F57CCD">
        <w:rPr>
          <w:rFonts w:eastAsia="Times New Roman" w:cs="Times New Roman"/>
          <w:kern w:val="0"/>
          <w:szCs w:val="24"/>
          <w:lang w:eastAsia="en-AU"/>
          <w14:ligatures w14:val="none"/>
        </w:rPr>
        <w:t xml:space="preserve"> See the </w:t>
      </w:r>
      <w:hyperlink r:id="rId4" w:history="1">
        <w:r w:rsidRPr="00F57CCD">
          <w:rPr>
            <w:rFonts w:eastAsia="Times New Roman" w:cs="Times New Roman"/>
            <w:color w:val="0000FF"/>
            <w:kern w:val="0"/>
            <w:szCs w:val="24"/>
            <w:u w:val="single"/>
            <w:lang w:eastAsia="en-AU"/>
            <w14:ligatures w14:val="none"/>
          </w:rPr>
          <w:t>list of manuscripts</w:t>
        </w:r>
      </w:hyperlink>
      <w:r w:rsidRPr="00F57CCD">
        <w:rPr>
          <w:rFonts w:eastAsia="Times New Roman" w:cs="Times New Roman"/>
          <w:kern w:val="0"/>
          <w:szCs w:val="24"/>
          <w:lang w:eastAsia="en-AU"/>
          <w14:ligatures w14:val="none"/>
        </w:rPr>
        <w:t xml:space="preserve"> in the introduction to the </w:t>
      </w:r>
      <w:r w:rsidRPr="00F57CCD">
        <w:rPr>
          <w:rFonts w:eastAsia="Times New Roman" w:cs="Times New Roman"/>
          <w:i/>
          <w:iCs/>
          <w:kern w:val="0"/>
          <w:szCs w:val="24"/>
          <w:lang w:eastAsia="en-AU"/>
          <w14:ligatures w14:val="none"/>
        </w:rPr>
        <w:t>Dialogue</w:t>
      </w:r>
      <w:r w:rsidRPr="00F57CCD">
        <w:rPr>
          <w:rFonts w:eastAsia="Times New Roman" w:cs="Times New Roman"/>
          <w:kern w:val="0"/>
          <w:szCs w:val="24"/>
          <w:lang w:eastAsia="en-AU"/>
          <w14:ligatures w14:val="none"/>
        </w:rPr>
        <w:t xml:space="preserve"> at this web site.</w:t>
      </w:r>
    </w:p>
    <w:p w14:paraId="7971E473"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0" w:name="n2"/>
      <w:bookmarkEnd w:id="0"/>
      <w:r w:rsidRPr="00F57CCD">
        <w:rPr>
          <w:rFonts w:eastAsia="Times New Roman" w:cs="Times New Roman"/>
          <w:b/>
          <w:bCs/>
          <w:kern w:val="0"/>
          <w:szCs w:val="24"/>
          <w:lang w:eastAsia="en-AU"/>
          <w14:ligatures w14:val="none"/>
        </w:rPr>
        <w:t>Note 2:</w:t>
      </w:r>
      <w:r w:rsidRPr="00F57CCD">
        <w:rPr>
          <w:rFonts w:eastAsia="Times New Roman" w:cs="Times New Roman"/>
          <w:kern w:val="0"/>
          <w:szCs w:val="24"/>
          <w:lang w:eastAsia="en-AU"/>
          <w14:ligatures w14:val="none"/>
        </w:rPr>
        <w:t xml:space="preserve"> Alberigo refers to 'la nature mitica del preteso conciliarismo del francescano inglese'; see G. Alberigo 'Il movimento conciliare (XIV_XV sec.) nella ricerca storica recente', in </w:t>
      </w:r>
      <w:r w:rsidRPr="00F57CCD">
        <w:rPr>
          <w:rFonts w:eastAsia="Times New Roman" w:cs="Times New Roman"/>
          <w:i/>
          <w:iCs/>
          <w:kern w:val="0"/>
          <w:szCs w:val="24"/>
          <w:lang w:eastAsia="en-AU"/>
          <w14:ligatures w14:val="none"/>
        </w:rPr>
        <w:t>Studi Medievali</w:t>
      </w:r>
      <w:r w:rsidRPr="00F57CCD">
        <w:rPr>
          <w:rFonts w:eastAsia="Times New Roman" w:cs="Times New Roman"/>
          <w:kern w:val="0"/>
          <w:szCs w:val="24"/>
          <w:lang w:eastAsia="en-AU"/>
          <w14:ligatures w14:val="none"/>
        </w:rPr>
        <w:t>, xix, 1978, pp. 913-50 at p. 925.</w:t>
      </w:r>
    </w:p>
    <w:p w14:paraId="215612C1"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1" w:name="n3"/>
      <w:bookmarkEnd w:id="1"/>
      <w:r w:rsidRPr="00F57CCD">
        <w:rPr>
          <w:rFonts w:eastAsia="Times New Roman" w:cs="Times New Roman"/>
          <w:b/>
          <w:bCs/>
          <w:kern w:val="0"/>
          <w:szCs w:val="24"/>
          <w:lang w:eastAsia="en-AU"/>
          <w14:ligatures w14:val="none"/>
        </w:rPr>
        <w:t>Note 3:</w:t>
      </w:r>
      <w:r w:rsidRPr="00F57CCD">
        <w:rPr>
          <w:rFonts w:eastAsia="Times New Roman" w:cs="Times New Roman"/>
          <w:kern w:val="0"/>
          <w:szCs w:val="24"/>
          <w:lang w:eastAsia="en-AU"/>
          <w14:ligatures w14:val="none"/>
        </w:rPr>
        <w:t xml:space="preserve"> Book 5 of the first part of the </w:t>
      </w:r>
      <w:r w:rsidRPr="00F57CCD">
        <w:rPr>
          <w:rFonts w:eastAsia="Times New Roman" w:cs="Times New Roman"/>
          <w:i/>
          <w:iCs/>
          <w:kern w:val="0"/>
          <w:szCs w:val="24"/>
          <w:lang w:eastAsia="en-AU"/>
          <w14:ligatures w14:val="none"/>
        </w:rPr>
        <w:t>Dialogue</w:t>
      </w:r>
      <w:r w:rsidRPr="00F57CCD">
        <w:rPr>
          <w:rFonts w:eastAsia="Times New Roman" w:cs="Times New Roman"/>
          <w:kern w:val="0"/>
          <w:szCs w:val="24"/>
          <w:lang w:eastAsia="en-AU"/>
          <w14:ligatures w14:val="none"/>
        </w:rPr>
        <w:t xml:space="preserve"> considers, in the context of Christ's promise that he would be with the Church always, who would maintain the faith and not be tainted by heresy. Arguments against its being the pope are found in chapters 1 to 5 and arguments against its being a general council are rehearsed in chapters 25 to 28.</w:t>
      </w:r>
    </w:p>
    <w:p w14:paraId="7E1A3D11"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2" w:name="n4"/>
      <w:bookmarkEnd w:id="2"/>
      <w:r w:rsidRPr="00F57CCD">
        <w:rPr>
          <w:rFonts w:eastAsia="Times New Roman" w:cs="Times New Roman"/>
          <w:b/>
          <w:bCs/>
          <w:kern w:val="0"/>
          <w:szCs w:val="24"/>
          <w:lang w:eastAsia="en-AU"/>
          <w14:ligatures w14:val="none"/>
        </w:rPr>
        <w:t>Note 4:</w:t>
      </w:r>
      <w:r w:rsidRPr="00F57CCD">
        <w:rPr>
          <w:rFonts w:eastAsia="Times New Roman" w:cs="Times New Roman"/>
          <w:kern w:val="0"/>
          <w:szCs w:val="24"/>
          <w:lang w:eastAsia="en-AU"/>
          <w14:ligatures w14:val="none"/>
        </w:rPr>
        <w:t xml:space="preserve"> On Ockham's recitative works see John Kilcullen, '</w:t>
      </w:r>
      <w:hyperlink r:id="rId5" w:history="1">
        <w:r w:rsidRPr="00F57CCD">
          <w:rPr>
            <w:rFonts w:eastAsia="Times New Roman" w:cs="Times New Roman"/>
            <w:color w:val="0000FF"/>
            <w:kern w:val="0"/>
            <w:szCs w:val="24"/>
            <w:u w:val="single"/>
            <w:lang w:eastAsia="en-AU"/>
            <w14:ligatures w14:val="none"/>
          </w:rPr>
          <w:t>The Political Writings</w:t>
        </w:r>
      </w:hyperlink>
      <w:r w:rsidRPr="00F57CCD">
        <w:rPr>
          <w:rFonts w:eastAsia="Times New Roman" w:cs="Times New Roman"/>
          <w:kern w:val="0"/>
          <w:szCs w:val="24"/>
          <w:lang w:eastAsia="en-AU"/>
          <w14:ligatures w14:val="none"/>
        </w:rPr>
        <w:t xml:space="preserve">', in Paul Vincent Spade, </w:t>
      </w:r>
      <w:r w:rsidRPr="00F57CCD">
        <w:rPr>
          <w:rFonts w:eastAsia="Times New Roman" w:cs="Times New Roman"/>
          <w:i/>
          <w:iCs/>
          <w:kern w:val="0"/>
          <w:szCs w:val="24"/>
          <w:lang w:eastAsia="en-AU"/>
          <w14:ligatures w14:val="none"/>
        </w:rPr>
        <w:t>The Cambridge Companion to Ockham</w:t>
      </w:r>
      <w:r w:rsidRPr="00F57CCD">
        <w:rPr>
          <w:rFonts w:eastAsia="Times New Roman" w:cs="Times New Roman"/>
          <w:kern w:val="0"/>
          <w:szCs w:val="24"/>
          <w:lang w:eastAsia="en-AU"/>
          <w14:ligatures w14:val="none"/>
        </w:rPr>
        <w:t xml:space="preserve">, Cambridge University Press, 1999, pp. 307-8 and Arthur Stephen McGrade, </w:t>
      </w:r>
      <w:r w:rsidRPr="00F57CCD">
        <w:rPr>
          <w:rFonts w:eastAsia="Times New Roman" w:cs="Times New Roman"/>
          <w:i/>
          <w:iCs/>
          <w:kern w:val="0"/>
          <w:szCs w:val="24"/>
          <w:lang w:eastAsia="en-AU"/>
          <w14:ligatures w14:val="none"/>
        </w:rPr>
        <w:t>The Political Thought of William of Ockham: Personal and Institutional Principles</w:t>
      </w:r>
      <w:r w:rsidRPr="00F57CCD">
        <w:rPr>
          <w:rFonts w:eastAsia="Times New Roman" w:cs="Times New Roman"/>
          <w:kern w:val="0"/>
          <w:szCs w:val="24"/>
          <w:lang w:eastAsia="en-AU"/>
          <w14:ligatures w14:val="none"/>
        </w:rPr>
        <w:t>, Cambridge University Press, 1974,</w:t>
      </w:r>
    </w:p>
    <w:p w14:paraId="4FA5B5E7"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3" w:name="n5"/>
      <w:bookmarkEnd w:id="3"/>
      <w:r w:rsidRPr="00F57CCD">
        <w:rPr>
          <w:rFonts w:eastAsia="Times New Roman" w:cs="Times New Roman"/>
          <w:b/>
          <w:bCs/>
          <w:kern w:val="0"/>
          <w:szCs w:val="24"/>
          <w:lang w:eastAsia="en-AU"/>
          <w14:ligatures w14:val="none"/>
        </w:rPr>
        <w:t>Note 5:</w:t>
      </w:r>
      <w:r w:rsidRPr="00F57CCD">
        <w:rPr>
          <w:rFonts w:eastAsia="Times New Roman" w:cs="Times New Roman"/>
          <w:kern w:val="0"/>
          <w:szCs w:val="24"/>
          <w:lang w:eastAsia="en-AU"/>
          <w14:ligatures w14:val="none"/>
        </w:rPr>
        <w:t xml:space="preserve"> For d'Ailly's view of canonists see Francis Oakley, </w:t>
      </w:r>
      <w:r w:rsidRPr="00F57CCD">
        <w:rPr>
          <w:rFonts w:eastAsia="Times New Roman" w:cs="Times New Roman"/>
          <w:i/>
          <w:iCs/>
          <w:kern w:val="0"/>
          <w:szCs w:val="24"/>
          <w:lang w:eastAsia="en-AU"/>
          <w14:ligatures w14:val="none"/>
        </w:rPr>
        <w:t>The Political Thought of Pierre d'Ailly: The Voluntarist Tradition</w:t>
      </w:r>
      <w:r w:rsidRPr="00F57CCD">
        <w:rPr>
          <w:rFonts w:eastAsia="Times New Roman" w:cs="Times New Roman"/>
          <w:kern w:val="0"/>
          <w:szCs w:val="24"/>
          <w:lang w:eastAsia="en-AU"/>
          <w14:ligatures w14:val="none"/>
        </w:rPr>
        <w:t xml:space="preserve">, New Haven, Yale University Press, 1964, pp. 22-3. See also Bernard Guenee, </w:t>
      </w:r>
      <w:r w:rsidRPr="00F57CCD">
        <w:rPr>
          <w:rFonts w:eastAsia="Times New Roman" w:cs="Times New Roman"/>
          <w:i/>
          <w:iCs/>
          <w:kern w:val="0"/>
          <w:szCs w:val="24"/>
          <w:lang w:eastAsia="en-AU"/>
          <w14:ligatures w14:val="none"/>
        </w:rPr>
        <w:t>Between Church and State</w:t>
      </w:r>
      <w:r w:rsidRPr="00F57CCD">
        <w:rPr>
          <w:rFonts w:eastAsia="Times New Roman" w:cs="Times New Roman"/>
          <w:kern w:val="0"/>
          <w:szCs w:val="24"/>
          <w:lang w:eastAsia="en-AU"/>
          <w14:ligatures w14:val="none"/>
        </w:rPr>
        <w:t>, University of Chicago Press, Chicago and London, 1991, 153-4.</w:t>
      </w:r>
    </w:p>
    <w:p w14:paraId="23403B28"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4" w:name="n6"/>
      <w:bookmarkEnd w:id="4"/>
      <w:r w:rsidRPr="00F57CCD">
        <w:rPr>
          <w:rFonts w:eastAsia="Times New Roman" w:cs="Times New Roman"/>
          <w:b/>
          <w:bCs/>
          <w:kern w:val="0"/>
          <w:szCs w:val="24"/>
          <w:lang w:eastAsia="en-AU"/>
          <w14:ligatures w14:val="none"/>
        </w:rPr>
        <w:t>Note 6:</w:t>
      </w:r>
      <w:r w:rsidRPr="00F57CCD">
        <w:rPr>
          <w:rFonts w:eastAsia="Times New Roman" w:cs="Times New Roman"/>
          <w:kern w:val="0"/>
          <w:szCs w:val="24"/>
          <w:lang w:eastAsia="en-AU"/>
          <w14:ligatures w14:val="none"/>
        </w:rPr>
        <w:t xml:space="preserve"> Gerson's addresses are found in his </w:t>
      </w:r>
      <w:r w:rsidRPr="00F57CCD">
        <w:rPr>
          <w:rFonts w:eastAsia="Times New Roman" w:cs="Times New Roman"/>
          <w:i/>
          <w:iCs/>
          <w:kern w:val="0"/>
          <w:szCs w:val="24"/>
          <w:lang w:eastAsia="en-AU"/>
          <w14:ligatures w14:val="none"/>
        </w:rPr>
        <w:t>Oeuvres complètes</w:t>
      </w:r>
      <w:r w:rsidRPr="00F57CCD">
        <w:rPr>
          <w:rFonts w:eastAsia="Times New Roman" w:cs="Times New Roman"/>
          <w:kern w:val="0"/>
          <w:szCs w:val="24"/>
          <w:lang w:eastAsia="en-AU"/>
          <w14:ligatures w14:val="none"/>
        </w:rPr>
        <w:t>, ed. P. Glorieux, Paris, Desclee, 1960-73, vol. 5, pp. 437-46 and vol. 7, pp. 171-78 and 219-29. For his reference to heresy see the last of these on p.228.</w:t>
      </w:r>
    </w:p>
    <w:p w14:paraId="722A3802"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5" w:name="n7"/>
      <w:bookmarkEnd w:id="5"/>
      <w:r w:rsidRPr="00F57CCD">
        <w:rPr>
          <w:rFonts w:eastAsia="Times New Roman" w:cs="Times New Roman"/>
          <w:b/>
          <w:bCs/>
          <w:kern w:val="0"/>
          <w:szCs w:val="24"/>
          <w:lang w:eastAsia="en-AU"/>
          <w14:ligatures w14:val="none"/>
        </w:rPr>
        <w:t>Note 7:</w:t>
      </w:r>
      <w:r w:rsidRPr="00F57CCD">
        <w:rPr>
          <w:rFonts w:eastAsia="Times New Roman" w:cs="Times New Roman"/>
          <w:kern w:val="0"/>
          <w:szCs w:val="24"/>
          <w:lang w:eastAsia="en-AU"/>
          <w14:ligatures w14:val="none"/>
        </w:rPr>
        <w:t xml:space="preserve"> For the views of van der Velde and Segovia see Anthony Black, </w:t>
      </w:r>
      <w:r w:rsidRPr="00F57CCD">
        <w:rPr>
          <w:rFonts w:eastAsia="Times New Roman" w:cs="Times New Roman"/>
          <w:i/>
          <w:iCs/>
          <w:kern w:val="0"/>
          <w:szCs w:val="24"/>
          <w:lang w:eastAsia="en-AU"/>
          <w14:ligatures w14:val="none"/>
        </w:rPr>
        <w:t>Council and Commune: the conciliar movement and the fifteenth century heritage</w:t>
      </w:r>
      <w:r w:rsidRPr="00F57CCD">
        <w:rPr>
          <w:rFonts w:eastAsia="Times New Roman" w:cs="Times New Roman"/>
          <w:kern w:val="0"/>
          <w:szCs w:val="24"/>
          <w:lang w:eastAsia="en-AU"/>
          <w14:ligatures w14:val="none"/>
        </w:rPr>
        <w:t xml:space="preserve">, London, Burns and Oates, 1979, pp. 62 and 128. For Segovia's debt to Ockham see Jesse D. Mann, 'William of Ockham, Juan de Segovia and Heretical Pertinacity', </w:t>
      </w:r>
      <w:r w:rsidRPr="00F57CCD">
        <w:rPr>
          <w:rFonts w:eastAsia="Times New Roman" w:cs="Times New Roman"/>
          <w:i/>
          <w:iCs/>
          <w:kern w:val="0"/>
          <w:szCs w:val="24"/>
          <w:lang w:eastAsia="en-AU"/>
          <w14:ligatures w14:val="none"/>
        </w:rPr>
        <w:t>Mediaevel Studies</w:t>
      </w:r>
      <w:r w:rsidRPr="00F57CCD">
        <w:rPr>
          <w:rFonts w:eastAsia="Times New Roman" w:cs="Times New Roman"/>
          <w:kern w:val="0"/>
          <w:szCs w:val="24"/>
          <w:lang w:eastAsia="en-AU"/>
          <w14:ligatures w14:val="none"/>
        </w:rPr>
        <w:t>, 56 (1994), pp. 67-88.</w:t>
      </w:r>
    </w:p>
    <w:p w14:paraId="58B393B2"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6" w:name="n8"/>
      <w:bookmarkEnd w:id="6"/>
      <w:r w:rsidRPr="00F57CCD">
        <w:rPr>
          <w:rFonts w:eastAsia="Times New Roman" w:cs="Times New Roman"/>
          <w:b/>
          <w:bCs/>
          <w:kern w:val="0"/>
          <w:szCs w:val="24"/>
          <w:lang w:eastAsia="en-AU"/>
          <w14:ligatures w14:val="none"/>
        </w:rPr>
        <w:t>Note 8:</w:t>
      </w:r>
      <w:r w:rsidRPr="00F57CCD">
        <w:rPr>
          <w:rFonts w:eastAsia="Times New Roman" w:cs="Times New Roman"/>
          <w:kern w:val="0"/>
          <w:szCs w:val="24"/>
          <w:lang w:eastAsia="en-AU"/>
          <w14:ligatures w14:val="none"/>
        </w:rPr>
        <w:t xml:space="preserve"> Black, op. cit., p. 111.</w:t>
      </w:r>
    </w:p>
    <w:p w14:paraId="7C35EDF3"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7" w:name="n9"/>
      <w:bookmarkEnd w:id="7"/>
      <w:r w:rsidRPr="00F57CCD">
        <w:rPr>
          <w:rFonts w:eastAsia="Times New Roman" w:cs="Times New Roman"/>
          <w:b/>
          <w:bCs/>
          <w:kern w:val="0"/>
          <w:szCs w:val="24"/>
          <w:lang w:eastAsia="en-AU"/>
          <w14:ligatures w14:val="none"/>
        </w:rPr>
        <w:t>Note 9:</w:t>
      </w:r>
      <w:r w:rsidRPr="00F57CCD">
        <w:rPr>
          <w:rFonts w:eastAsia="Times New Roman" w:cs="Times New Roman"/>
          <w:kern w:val="0"/>
          <w:szCs w:val="24"/>
          <w:lang w:eastAsia="en-AU"/>
          <w14:ligatures w14:val="none"/>
        </w:rPr>
        <w:t xml:space="preserve"> On the canonistic background to the papal views see B. Tierney, </w:t>
      </w:r>
      <w:r w:rsidRPr="00F57CCD">
        <w:rPr>
          <w:rFonts w:eastAsia="Times New Roman" w:cs="Times New Roman"/>
          <w:i/>
          <w:iCs/>
          <w:kern w:val="0"/>
          <w:szCs w:val="24"/>
          <w:lang w:eastAsia="en-AU"/>
          <w14:ligatures w14:val="none"/>
        </w:rPr>
        <w:t>Foundations of the Conciliar Theory: The Contribution of the Medieval Canonists from Gratian to the Great Schism</w:t>
      </w:r>
      <w:r w:rsidRPr="00F57CCD">
        <w:rPr>
          <w:rFonts w:eastAsia="Times New Roman" w:cs="Times New Roman"/>
          <w:kern w:val="0"/>
          <w:szCs w:val="24"/>
          <w:lang w:eastAsia="en-AU"/>
          <w14:ligatures w14:val="none"/>
        </w:rPr>
        <w:t>, London, Cambridge University Press, 1955.</w:t>
      </w:r>
    </w:p>
    <w:p w14:paraId="3BF67EC2"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8" w:name="n10"/>
      <w:bookmarkEnd w:id="8"/>
      <w:r w:rsidRPr="00F57CCD">
        <w:rPr>
          <w:rFonts w:eastAsia="Times New Roman" w:cs="Times New Roman"/>
          <w:b/>
          <w:bCs/>
          <w:kern w:val="0"/>
          <w:szCs w:val="24"/>
          <w:lang w:eastAsia="en-AU"/>
          <w14:ligatures w14:val="none"/>
        </w:rPr>
        <w:t>Note 10:</w:t>
      </w:r>
      <w:r w:rsidRPr="00F57CCD">
        <w:rPr>
          <w:rFonts w:eastAsia="Times New Roman" w:cs="Times New Roman"/>
          <w:kern w:val="0"/>
          <w:szCs w:val="24"/>
          <w:lang w:eastAsia="en-AU"/>
          <w14:ligatures w14:val="none"/>
        </w:rPr>
        <w:t xml:space="preserve"> Black, op. cit., p. 62.</w:t>
      </w:r>
    </w:p>
    <w:p w14:paraId="7A69BF80"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9" w:name="n11"/>
      <w:bookmarkEnd w:id="9"/>
      <w:r w:rsidRPr="00F57CCD">
        <w:rPr>
          <w:rFonts w:eastAsia="Times New Roman" w:cs="Times New Roman"/>
          <w:b/>
          <w:bCs/>
          <w:kern w:val="0"/>
          <w:szCs w:val="24"/>
          <w:lang w:eastAsia="en-AU"/>
          <w14:ligatures w14:val="none"/>
        </w:rPr>
        <w:t>Note 11:</w:t>
      </w:r>
      <w:r w:rsidRPr="00F57CCD">
        <w:rPr>
          <w:rFonts w:eastAsia="Times New Roman" w:cs="Times New Roman"/>
          <w:kern w:val="0"/>
          <w:szCs w:val="24"/>
          <w:lang w:eastAsia="en-AU"/>
          <w14:ligatures w14:val="none"/>
        </w:rPr>
        <w:t xml:space="preserve"> Cited by Guy Fitch Lytle, 'The careers of Oxford students in the Later Middle Ages', in James M Kittelson &amp; Pamela J Transue, </w:t>
      </w:r>
      <w:r w:rsidRPr="00F57CCD">
        <w:rPr>
          <w:rFonts w:eastAsia="Times New Roman" w:cs="Times New Roman"/>
          <w:i/>
          <w:iCs/>
          <w:kern w:val="0"/>
          <w:szCs w:val="24"/>
          <w:lang w:eastAsia="en-AU"/>
          <w14:ligatures w14:val="none"/>
        </w:rPr>
        <w:t>Rebirth, Reform and Resilience, Universities in Transition 1300-1700</w:t>
      </w:r>
      <w:r w:rsidRPr="00F57CCD">
        <w:rPr>
          <w:rFonts w:eastAsia="Times New Roman" w:cs="Times New Roman"/>
          <w:kern w:val="0"/>
          <w:szCs w:val="24"/>
          <w:lang w:eastAsia="en-AU"/>
          <w14:ligatures w14:val="none"/>
        </w:rPr>
        <w:t>, Ohio State University Press, Columbus, 1984, pp. 213-53 on p. 241.</w:t>
      </w:r>
    </w:p>
    <w:p w14:paraId="45E48856"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10" w:name="n12"/>
      <w:bookmarkEnd w:id="10"/>
      <w:r w:rsidRPr="00F57CCD">
        <w:rPr>
          <w:rFonts w:eastAsia="Times New Roman" w:cs="Times New Roman"/>
          <w:b/>
          <w:bCs/>
          <w:kern w:val="0"/>
          <w:szCs w:val="24"/>
          <w:lang w:eastAsia="en-AU"/>
          <w14:ligatures w14:val="none"/>
        </w:rPr>
        <w:lastRenderedPageBreak/>
        <w:t>Note 12:</w:t>
      </w:r>
      <w:r w:rsidRPr="00F57CCD">
        <w:rPr>
          <w:rFonts w:eastAsia="Times New Roman" w:cs="Times New Roman"/>
          <w:kern w:val="0"/>
          <w:szCs w:val="24"/>
          <w:lang w:eastAsia="en-AU"/>
          <w14:ligatures w14:val="none"/>
        </w:rPr>
        <w:t xml:space="preserve"> See D. N. Lepine, 'The Origins and Careers of the Canons of Exeter Cathedral, 1300-1455', in C. Harper-Bill, </w:t>
      </w:r>
      <w:r w:rsidRPr="00F57CCD">
        <w:rPr>
          <w:rFonts w:eastAsia="Times New Roman" w:cs="Times New Roman"/>
          <w:i/>
          <w:iCs/>
          <w:kern w:val="0"/>
          <w:szCs w:val="24"/>
          <w:lang w:eastAsia="en-AU"/>
          <w14:ligatures w14:val="none"/>
        </w:rPr>
        <w:t>Religious Belief and Ecclesiastical Careers in Late Medieval England: the proceedings of the conference held at Strawberry Hill, Easter, 1989</w:t>
      </w:r>
      <w:r w:rsidRPr="00F57CCD">
        <w:rPr>
          <w:rFonts w:eastAsia="Times New Roman" w:cs="Times New Roman"/>
          <w:kern w:val="0"/>
          <w:szCs w:val="24"/>
          <w:lang w:eastAsia="en-AU"/>
          <w14:ligatures w14:val="none"/>
        </w:rPr>
        <w:t>, Woodbridge, Suffolk, Boydell Press, 1991, pp. 87-120</w:t>
      </w:r>
    </w:p>
    <w:p w14:paraId="6B4F2860"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11" w:name="n13"/>
      <w:bookmarkEnd w:id="11"/>
      <w:r w:rsidRPr="00F57CCD">
        <w:rPr>
          <w:rFonts w:eastAsia="Times New Roman" w:cs="Times New Roman"/>
          <w:b/>
          <w:bCs/>
          <w:kern w:val="0"/>
          <w:szCs w:val="24"/>
          <w:lang w:eastAsia="en-AU"/>
          <w14:ligatures w14:val="none"/>
        </w:rPr>
        <w:t>Note 13:</w:t>
      </w:r>
      <w:r w:rsidRPr="00F57CCD">
        <w:rPr>
          <w:rFonts w:eastAsia="Times New Roman" w:cs="Times New Roman"/>
          <w:kern w:val="0"/>
          <w:szCs w:val="24"/>
          <w:lang w:eastAsia="en-AU"/>
          <w14:ligatures w14:val="none"/>
        </w:rPr>
        <w:t xml:space="preserve"> Alan B. Cobban, "Theology and Law in the Medieval Colleges of Oxford and Cambridge", </w:t>
      </w:r>
      <w:r w:rsidRPr="00F57CCD">
        <w:rPr>
          <w:rFonts w:eastAsia="Times New Roman" w:cs="Times New Roman"/>
          <w:i/>
          <w:iCs/>
          <w:kern w:val="0"/>
          <w:szCs w:val="24"/>
          <w:lang w:eastAsia="en-AU"/>
          <w14:ligatures w14:val="none"/>
        </w:rPr>
        <w:t>Bulletin of the John Rylands Library of Manchester</w:t>
      </w:r>
      <w:r w:rsidRPr="00F57CCD">
        <w:rPr>
          <w:rFonts w:eastAsia="Times New Roman" w:cs="Times New Roman"/>
          <w:kern w:val="0"/>
          <w:szCs w:val="24"/>
          <w:lang w:eastAsia="en-AU"/>
          <w14:ligatures w14:val="none"/>
        </w:rPr>
        <w:t>, 65 (1982), pp. 57-77 at pp. 63-4. He estimates that between the end of the fourteenth and the end of the fifteenth century the percentage of scholars engaged in theology must have fallen from about 40% to about 15%, p. 67.</w:t>
      </w:r>
    </w:p>
    <w:p w14:paraId="56CCE29C"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12" w:name="n14"/>
      <w:bookmarkEnd w:id="12"/>
      <w:r w:rsidRPr="00F57CCD">
        <w:rPr>
          <w:rFonts w:eastAsia="Times New Roman" w:cs="Times New Roman"/>
          <w:b/>
          <w:bCs/>
          <w:kern w:val="0"/>
          <w:szCs w:val="24"/>
          <w:lang w:eastAsia="en-AU"/>
          <w14:ligatures w14:val="none"/>
        </w:rPr>
        <w:t>Note 14:</w:t>
      </w:r>
      <w:r w:rsidRPr="00F57CCD">
        <w:rPr>
          <w:rFonts w:eastAsia="Times New Roman" w:cs="Times New Roman"/>
          <w:kern w:val="0"/>
          <w:szCs w:val="24"/>
          <w:lang w:eastAsia="en-AU"/>
          <w14:ligatures w14:val="none"/>
        </w:rPr>
        <w:t xml:space="preserve"> The sermon, delivered by Thomas of Wimbledon in 1388, is edited by Nancy H. Owen, in 'Thomas Wimbledon's Sermon: "Redde racionem villacionis tue"', </w:t>
      </w:r>
      <w:r w:rsidRPr="00F57CCD">
        <w:rPr>
          <w:rFonts w:eastAsia="Times New Roman" w:cs="Times New Roman"/>
          <w:i/>
          <w:iCs/>
          <w:kern w:val="0"/>
          <w:szCs w:val="24"/>
          <w:lang w:eastAsia="en-AU"/>
          <w14:ligatures w14:val="none"/>
        </w:rPr>
        <w:t>Medieval Studies</w:t>
      </w:r>
      <w:r w:rsidRPr="00F57CCD">
        <w:rPr>
          <w:rFonts w:eastAsia="Times New Roman" w:cs="Times New Roman"/>
          <w:kern w:val="0"/>
          <w:szCs w:val="24"/>
          <w:lang w:eastAsia="en-AU"/>
          <w14:ligatures w14:val="none"/>
        </w:rPr>
        <w:t xml:space="preserve">, 28 (1966), pp. 176-97; see p. 181. D' Ailly is quoted by G. H. M. Posthumus Meyjes, 'Exponents of Sovereignty: Canonists as seen by Theologians in the Late Middle Ages', in </w:t>
      </w:r>
      <w:r w:rsidRPr="00F57CCD">
        <w:rPr>
          <w:rFonts w:eastAsia="Times New Roman" w:cs="Times New Roman"/>
          <w:i/>
          <w:iCs/>
          <w:kern w:val="0"/>
          <w:szCs w:val="24"/>
          <w:lang w:eastAsia="en-AU"/>
          <w14:ligatures w14:val="none"/>
        </w:rPr>
        <w:t>The Church and Sovereignty c.590-1918 Essays in Honour of Michael Wilks</w:t>
      </w:r>
      <w:r w:rsidRPr="00F57CCD">
        <w:rPr>
          <w:rFonts w:eastAsia="Times New Roman" w:cs="Times New Roman"/>
          <w:kern w:val="0"/>
          <w:szCs w:val="24"/>
          <w:lang w:eastAsia="en-AU"/>
          <w14:ligatures w14:val="none"/>
        </w:rPr>
        <w:t>, Basil Blackwell, Oxford, 1991, at p. 312.</w:t>
      </w:r>
    </w:p>
    <w:p w14:paraId="0D1E5EB4"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13" w:name="n15"/>
      <w:bookmarkEnd w:id="13"/>
      <w:r w:rsidRPr="00F57CCD">
        <w:rPr>
          <w:rFonts w:eastAsia="Times New Roman" w:cs="Times New Roman"/>
          <w:b/>
          <w:bCs/>
          <w:kern w:val="0"/>
          <w:szCs w:val="24"/>
          <w:lang w:eastAsia="en-AU"/>
          <w14:ligatures w14:val="none"/>
        </w:rPr>
        <w:t>Note 15:</w:t>
      </w:r>
      <w:r w:rsidRPr="00F57CCD">
        <w:rPr>
          <w:rFonts w:eastAsia="Times New Roman" w:cs="Times New Roman"/>
          <w:kern w:val="0"/>
          <w:szCs w:val="24"/>
          <w:lang w:eastAsia="en-AU"/>
          <w14:ligatures w14:val="none"/>
        </w:rPr>
        <w:t xml:space="preserve"> See William Courtenay, </w:t>
      </w:r>
      <w:r w:rsidRPr="00F57CCD">
        <w:rPr>
          <w:rFonts w:eastAsia="Times New Roman" w:cs="Times New Roman"/>
          <w:i/>
          <w:iCs/>
          <w:kern w:val="0"/>
          <w:szCs w:val="24"/>
          <w:lang w:eastAsia="en-AU"/>
          <w14:ligatures w14:val="none"/>
        </w:rPr>
        <w:t>Schools and Scholars in Fourteenth Century England</w:t>
      </w:r>
      <w:r w:rsidRPr="00F57CCD">
        <w:rPr>
          <w:rFonts w:eastAsia="Times New Roman" w:cs="Times New Roman"/>
          <w:kern w:val="0"/>
          <w:szCs w:val="24"/>
          <w:lang w:eastAsia="en-AU"/>
          <w14:ligatures w14:val="none"/>
        </w:rPr>
        <w:t>, Princeton, New Jersey, Princeton University Press, 1987, pp. 131-37.</w:t>
      </w:r>
    </w:p>
    <w:p w14:paraId="6123E5AC"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14" w:name="n16"/>
      <w:bookmarkEnd w:id="14"/>
      <w:r w:rsidRPr="00F57CCD">
        <w:rPr>
          <w:rFonts w:eastAsia="Times New Roman" w:cs="Times New Roman"/>
          <w:b/>
          <w:bCs/>
          <w:kern w:val="0"/>
          <w:szCs w:val="24"/>
          <w:lang w:eastAsia="en-AU"/>
          <w14:ligatures w14:val="none"/>
        </w:rPr>
        <w:t>Note 16:</w:t>
      </w:r>
      <w:r w:rsidRPr="00F57CCD">
        <w:rPr>
          <w:rFonts w:eastAsia="Times New Roman" w:cs="Times New Roman"/>
          <w:kern w:val="0"/>
          <w:szCs w:val="24"/>
          <w:lang w:eastAsia="en-AU"/>
          <w14:ligatures w14:val="none"/>
        </w:rPr>
        <w:t xml:space="preserve"> </w:t>
      </w:r>
      <w:r w:rsidRPr="00F57CCD">
        <w:rPr>
          <w:rFonts w:eastAsia="Times New Roman" w:cs="Times New Roman"/>
          <w:i/>
          <w:iCs/>
          <w:kern w:val="0"/>
          <w:szCs w:val="24"/>
          <w:lang w:eastAsia="en-AU"/>
          <w14:ligatures w14:val="none"/>
        </w:rPr>
        <w:t>Tractatus Contra Benedictum</w:t>
      </w:r>
      <w:r w:rsidRPr="00F57CCD">
        <w:rPr>
          <w:rFonts w:eastAsia="Times New Roman" w:cs="Times New Roman"/>
          <w:kern w:val="0"/>
          <w:szCs w:val="24"/>
          <w:lang w:eastAsia="en-AU"/>
          <w14:ligatures w14:val="none"/>
        </w:rPr>
        <w:t xml:space="preserve">, ed. H. S. Offler in Guillelmi de Ockham, </w:t>
      </w:r>
      <w:r w:rsidRPr="00F57CCD">
        <w:rPr>
          <w:rFonts w:eastAsia="Times New Roman" w:cs="Times New Roman"/>
          <w:i/>
          <w:iCs/>
          <w:kern w:val="0"/>
          <w:szCs w:val="24"/>
          <w:lang w:eastAsia="en-AU"/>
          <w14:ligatures w14:val="none"/>
        </w:rPr>
        <w:t>Opera Politica</w:t>
      </w:r>
      <w:r w:rsidRPr="00F57CCD">
        <w:rPr>
          <w:rFonts w:eastAsia="Times New Roman" w:cs="Times New Roman"/>
          <w:kern w:val="0"/>
          <w:szCs w:val="24"/>
          <w:lang w:eastAsia="en-AU"/>
          <w14:ligatures w14:val="none"/>
        </w:rPr>
        <w:t xml:space="preserve">, vol. 3, Manchester, Manchester University Press at p. 213. Later in the </w:t>
      </w:r>
      <w:r w:rsidRPr="00F57CCD">
        <w:rPr>
          <w:rFonts w:eastAsia="Times New Roman" w:cs="Times New Roman"/>
          <w:i/>
          <w:iCs/>
          <w:kern w:val="0"/>
          <w:szCs w:val="24"/>
          <w:lang w:eastAsia="en-AU"/>
          <w14:ligatures w14:val="none"/>
        </w:rPr>
        <w:t>Dialogue</w:t>
      </w:r>
      <w:r w:rsidRPr="00F57CCD">
        <w:rPr>
          <w:rFonts w:eastAsia="Times New Roman" w:cs="Times New Roman"/>
          <w:kern w:val="0"/>
          <w:szCs w:val="24"/>
          <w:lang w:eastAsia="en-AU"/>
          <w14:ligatures w14:val="none"/>
        </w:rPr>
        <w:t xml:space="preserve"> 1 Dial., 2.30 the Student, a keen defender of the pope, states the widely known situation clearly. 'For there have been many highest pontiffs since the time of Innocent III who have been very learned in canon law, although they have not been outstanding in theology.'</w:t>
      </w:r>
    </w:p>
    <w:p w14:paraId="392EDFDC"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15" w:name="n17"/>
      <w:bookmarkEnd w:id="15"/>
      <w:r w:rsidRPr="00F57CCD">
        <w:rPr>
          <w:rFonts w:eastAsia="Times New Roman" w:cs="Times New Roman"/>
          <w:b/>
          <w:bCs/>
          <w:kern w:val="0"/>
          <w:szCs w:val="24"/>
          <w:lang w:eastAsia="en-AU"/>
          <w14:ligatures w14:val="none"/>
        </w:rPr>
        <w:t>Note 17:</w:t>
      </w:r>
      <w:r w:rsidRPr="00F57CCD">
        <w:rPr>
          <w:rFonts w:eastAsia="Times New Roman" w:cs="Times New Roman"/>
          <w:kern w:val="0"/>
          <w:szCs w:val="24"/>
          <w:lang w:eastAsia="en-AU"/>
          <w14:ligatures w14:val="none"/>
        </w:rPr>
        <w:t xml:space="preserve"> The letter, dated 31 July, 1330, is printed in </w:t>
      </w:r>
      <w:r w:rsidRPr="00F57CCD">
        <w:rPr>
          <w:rFonts w:eastAsia="Times New Roman" w:cs="Times New Roman"/>
          <w:i/>
          <w:iCs/>
          <w:kern w:val="0"/>
          <w:szCs w:val="24"/>
          <w:lang w:eastAsia="en-AU"/>
          <w14:ligatures w14:val="none"/>
        </w:rPr>
        <w:t>MGH</w:t>
      </w:r>
      <w:r w:rsidRPr="00F57CCD">
        <w:rPr>
          <w:rFonts w:eastAsia="Times New Roman" w:cs="Times New Roman"/>
          <w:kern w:val="0"/>
          <w:szCs w:val="24"/>
          <w:lang w:eastAsia="en-AU"/>
          <w14:ligatures w14:val="none"/>
        </w:rPr>
        <w:t>, Legum Sectio IV, 6. Pt. 1, sect. 2, p.688.</w:t>
      </w:r>
    </w:p>
    <w:p w14:paraId="564ED5BC"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16" w:name="n18"/>
      <w:bookmarkEnd w:id="16"/>
      <w:r w:rsidRPr="00F57CCD">
        <w:rPr>
          <w:rFonts w:eastAsia="Times New Roman" w:cs="Times New Roman"/>
          <w:b/>
          <w:bCs/>
          <w:kern w:val="0"/>
          <w:szCs w:val="24"/>
          <w:lang w:eastAsia="en-AU"/>
          <w14:ligatures w14:val="none"/>
        </w:rPr>
        <w:t>Note 18:</w:t>
      </w:r>
      <w:r w:rsidRPr="00F57CCD">
        <w:rPr>
          <w:rFonts w:eastAsia="Times New Roman" w:cs="Times New Roman"/>
          <w:kern w:val="0"/>
          <w:szCs w:val="24"/>
          <w:lang w:eastAsia="en-AU"/>
          <w14:ligatures w14:val="none"/>
        </w:rPr>
        <w:t xml:space="preserve"> For Ockham's views on Eckhart see </w:t>
      </w:r>
      <w:r w:rsidRPr="00F57CCD">
        <w:rPr>
          <w:rFonts w:eastAsia="Times New Roman" w:cs="Times New Roman"/>
          <w:i/>
          <w:iCs/>
          <w:kern w:val="0"/>
          <w:szCs w:val="24"/>
          <w:lang w:eastAsia="en-AU"/>
          <w14:ligatures w14:val="none"/>
        </w:rPr>
        <w:t>Contra Benedictum</w:t>
      </w:r>
      <w:r w:rsidRPr="00F57CCD">
        <w:rPr>
          <w:rFonts w:eastAsia="Times New Roman" w:cs="Times New Roman"/>
          <w:kern w:val="0"/>
          <w:szCs w:val="24"/>
          <w:lang w:eastAsia="en-AU"/>
          <w14:ligatures w14:val="none"/>
        </w:rPr>
        <w:t>, pp. 251-53.</w:t>
      </w:r>
    </w:p>
    <w:p w14:paraId="296A6CD5"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17" w:name="n19"/>
      <w:bookmarkEnd w:id="17"/>
      <w:r w:rsidRPr="00F57CCD">
        <w:rPr>
          <w:rFonts w:eastAsia="Times New Roman" w:cs="Times New Roman"/>
          <w:b/>
          <w:bCs/>
          <w:kern w:val="0"/>
          <w:szCs w:val="24"/>
          <w:lang w:eastAsia="en-AU"/>
          <w14:ligatures w14:val="none"/>
        </w:rPr>
        <w:t>Note 19:</w:t>
      </w:r>
      <w:r w:rsidRPr="00F57CCD">
        <w:rPr>
          <w:rFonts w:eastAsia="Times New Roman" w:cs="Times New Roman"/>
          <w:kern w:val="0"/>
          <w:szCs w:val="24"/>
          <w:lang w:eastAsia="en-AU"/>
          <w14:ligatures w14:val="none"/>
        </w:rPr>
        <w:t xml:space="preserve"> Some of the replies to the pope's request for responses to the heretical views of Marsilius are printed in R. Scholz, </w:t>
      </w:r>
      <w:r w:rsidRPr="00F57CCD">
        <w:rPr>
          <w:rFonts w:eastAsia="Times New Roman" w:cs="Times New Roman"/>
          <w:i/>
          <w:iCs/>
          <w:kern w:val="0"/>
          <w:szCs w:val="24"/>
          <w:lang w:eastAsia="en-AU"/>
          <w14:ligatures w14:val="none"/>
        </w:rPr>
        <w:t>Unbekannte Kirchenpolitische Streitschriften aus der Zeit Ludwigs Des Bayern (1327-1354)</w:t>
      </w:r>
      <w:r w:rsidRPr="00F57CCD">
        <w:rPr>
          <w:rFonts w:eastAsia="Times New Roman" w:cs="Times New Roman"/>
          <w:kern w:val="0"/>
          <w:szCs w:val="24"/>
          <w:lang w:eastAsia="en-AU"/>
          <w14:ligatures w14:val="none"/>
        </w:rPr>
        <w:t>, Rome, 1914. See pp.3-42.</w:t>
      </w:r>
    </w:p>
    <w:p w14:paraId="72DDF18E"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18" w:name="n20"/>
      <w:bookmarkEnd w:id="18"/>
      <w:r w:rsidRPr="00F57CCD">
        <w:rPr>
          <w:rFonts w:eastAsia="Times New Roman" w:cs="Times New Roman"/>
          <w:b/>
          <w:bCs/>
          <w:kern w:val="0"/>
          <w:szCs w:val="24"/>
          <w:lang w:eastAsia="en-AU"/>
          <w14:ligatures w14:val="none"/>
        </w:rPr>
        <w:t>Note 20:</w:t>
      </w:r>
      <w:r w:rsidRPr="00F57CCD">
        <w:rPr>
          <w:rFonts w:eastAsia="Times New Roman" w:cs="Times New Roman"/>
          <w:kern w:val="0"/>
          <w:szCs w:val="24"/>
          <w:lang w:eastAsia="en-AU"/>
          <w14:ligatures w14:val="none"/>
        </w:rPr>
        <w:t xml:space="preserve"> Translated in Francis E. Kelley, 'Ockham: Avignon, before and after', in Anne Hudson and Michael Wilks, </w:t>
      </w:r>
      <w:r w:rsidRPr="00F57CCD">
        <w:rPr>
          <w:rFonts w:eastAsia="Times New Roman" w:cs="Times New Roman"/>
          <w:i/>
          <w:iCs/>
          <w:kern w:val="0"/>
          <w:szCs w:val="24"/>
          <w:lang w:eastAsia="en-AU"/>
          <w14:ligatures w14:val="none"/>
        </w:rPr>
        <w:t>From Ockham to Wyclif</w:t>
      </w:r>
      <w:r w:rsidRPr="00F57CCD">
        <w:rPr>
          <w:rFonts w:eastAsia="Times New Roman" w:cs="Times New Roman"/>
          <w:kern w:val="0"/>
          <w:szCs w:val="24"/>
          <w:lang w:eastAsia="en-AU"/>
          <w14:ligatures w14:val="none"/>
        </w:rPr>
        <w:t>, Oxford, Blackwell, 1987 at p. 7.</w:t>
      </w:r>
    </w:p>
    <w:p w14:paraId="4788CE0B"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19" w:name="n21"/>
      <w:bookmarkEnd w:id="19"/>
      <w:r w:rsidRPr="00F57CCD">
        <w:rPr>
          <w:rFonts w:eastAsia="Times New Roman" w:cs="Times New Roman"/>
          <w:b/>
          <w:bCs/>
          <w:kern w:val="0"/>
          <w:szCs w:val="24"/>
          <w:lang w:eastAsia="en-AU"/>
          <w14:ligatures w14:val="none"/>
        </w:rPr>
        <w:t>Note 21:</w:t>
      </w:r>
      <w:r w:rsidRPr="00F57CCD">
        <w:rPr>
          <w:rFonts w:eastAsia="Times New Roman" w:cs="Times New Roman"/>
          <w:kern w:val="0"/>
          <w:szCs w:val="24"/>
          <w:lang w:eastAsia="en-AU"/>
          <w14:ligatures w14:val="none"/>
        </w:rPr>
        <w:t xml:space="preserve"> Cited by R. James Long, '"Utrum iurista vel theologus plus proficiat ad regimen ecclesie" A Quaestio Disputata of Francis Caraccioli: Edition and Study', </w:t>
      </w:r>
      <w:r w:rsidRPr="00F57CCD">
        <w:rPr>
          <w:rFonts w:eastAsia="Times New Roman" w:cs="Times New Roman"/>
          <w:i/>
          <w:iCs/>
          <w:kern w:val="0"/>
          <w:szCs w:val="24"/>
          <w:lang w:eastAsia="en-AU"/>
          <w14:ligatures w14:val="none"/>
        </w:rPr>
        <w:t>Medieval Studies</w:t>
      </w:r>
      <w:r w:rsidRPr="00F57CCD">
        <w:rPr>
          <w:rFonts w:eastAsia="Times New Roman" w:cs="Times New Roman"/>
          <w:kern w:val="0"/>
          <w:szCs w:val="24"/>
          <w:lang w:eastAsia="en-AU"/>
          <w14:ligatures w14:val="none"/>
        </w:rPr>
        <w:t>, 30 (1968), pp. 134-62 at p. 140.</w:t>
      </w:r>
    </w:p>
    <w:p w14:paraId="665566C4"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20" w:name="n22"/>
      <w:bookmarkEnd w:id="20"/>
      <w:r w:rsidRPr="00F57CCD">
        <w:rPr>
          <w:rFonts w:eastAsia="Times New Roman" w:cs="Times New Roman"/>
          <w:b/>
          <w:bCs/>
          <w:kern w:val="0"/>
          <w:szCs w:val="24"/>
          <w:lang w:eastAsia="en-AU"/>
          <w14:ligatures w14:val="none"/>
        </w:rPr>
        <w:lastRenderedPageBreak/>
        <w:t>Note 22:</w:t>
      </w:r>
      <w:r w:rsidRPr="00F57CCD">
        <w:rPr>
          <w:rFonts w:eastAsia="Times New Roman" w:cs="Times New Roman"/>
          <w:kern w:val="0"/>
          <w:szCs w:val="24"/>
          <w:lang w:eastAsia="en-AU"/>
          <w14:ligatures w14:val="none"/>
        </w:rPr>
        <w:t xml:space="preserve"> Thomas Aquinas, </w:t>
      </w:r>
      <w:r w:rsidRPr="00F57CCD">
        <w:rPr>
          <w:rFonts w:eastAsia="Times New Roman" w:cs="Times New Roman"/>
          <w:i/>
          <w:iCs/>
          <w:kern w:val="0"/>
          <w:szCs w:val="24"/>
          <w:lang w:eastAsia="en-AU"/>
          <w14:ligatures w14:val="none"/>
        </w:rPr>
        <w:t>Quodlibet</w:t>
      </w:r>
      <w:r w:rsidRPr="00F57CCD">
        <w:rPr>
          <w:rFonts w:eastAsia="Times New Roman" w:cs="Times New Roman"/>
          <w:kern w:val="0"/>
          <w:szCs w:val="24"/>
          <w:lang w:eastAsia="en-AU"/>
          <w14:ligatures w14:val="none"/>
        </w:rPr>
        <w:t xml:space="preserve">, XI, cited by Walter Ullmann, </w:t>
      </w:r>
      <w:r w:rsidRPr="00F57CCD">
        <w:rPr>
          <w:rFonts w:eastAsia="Times New Roman" w:cs="Times New Roman"/>
          <w:i/>
          <w:iCs/>
          <w:kern w:val="0"/>
          <w:szCs w:val="24"/>
          <w:lang w:eastAsia="en-AU"/>
          <w14:ligatures w14:val="none"/>
        </w:rPr>
        <w:t>Medieval Papalism. The Political Theories of the Medieval Canonists</w:t>
      </w:r>
      <w:r w:rsidRPr="00F57CCD">
        <w:rPr>
          <w:rFonts w:eastAsia="Times New Roman" w:cs="Times New Roman"/>
          <w:kern w:val="0"/>
          <w:szCs w:val="24"/>
          <w:lang w:eastAsia="en-AU"/>
          <w14:ligatures w14:val="none"/>
        </w:rPr>
        <w:t>, London, Methuen, 1949, p.47,n.2.</w:t>
      </w:r>
    </w:p>
    <w:p w14:paraId="7554672F"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21" w:name="n23"/>
      <w:bookmarkEnd w:id="21"/>
      <w:r w:rsidRPr="00F57CCD">
        <w:rPr>
          <w:rFonts w:eastAsia="Times New Roman" w:cs="Times New Roman"/>
          <w:b/>
          <w:bCs/>
          <w:kern w:val="0"/>
          <w:szCs w:val="24"/>
          <w:lang w:eastAsia="en-AU"/>
          <w14:ligatures w14:val="none"/>
        </w:rPr>
        <w:t>Note 23:</w:t>
      </w:r>
      <w:r w:rsidRPr="00F57CCD">
        <w:rPr>
          <w:rFonts w:eastAsia="Times New Roman" w:cs="Times New Roman"/>
          <w:kern w:val="0"/>
          <w:szCs w:val="24"/>
          <w:lang w:eastAsia="en-AU"/>
          <w14:ligatures w14:val="none"/>
        </w:rPr>
        <w:t xml:space="preserve"> </w:t>
      </w:r>
      <w:r w:rsidRPr="00F57CCD">
        <w:rPr>
          <w:rFonts w:eastAsia="Times New Roman" w:cs="Times New Roman"/>
          <w:i/>
          <w:iCs/>
          <w:kern w:val="0"/>
          <w:szCs w:val="24"/>
          <w:lang w:eastAsia="en-AU"/>
          <w14:ligatures w14:val="none"/>
        </w:rPr>
        <w:t>Paradiso</w:t>
      </w:r>
      <w:r w:rsidRPr="00F57CCD">
        <w:rPr>
          <w:rFonts w:eastAsia="Times New Roman" w:cs="Times New Roman"/>
          <w:kern w:val="0"/>
          <w:szCs w:val="24"/>
          <w:lang w:eastAsia="en-AU"/>
          <w14:ligatures w14:val="none"/>
        </w:rPr>
        <w:t xml:space="preserve">, IX, 133-35. Note his remarks in book 3 of </w:t>
      </w:r>
      <w:r w:rsidRPr="00F57CCD">
        <w:rPr>
          <w:rFonts w:eastAsia="Times New Roman" w:cs="Times New Roman"/>
          <w:i/>
          <w:iCs/>
          <w:kern w:val="0"/>
          <w:szCs w:val="24"/>
          <w:lang w:eastAsia="en-AU"/>
          <w14:ligatures w14:val="none"/>
        </w:rPr>
        <w:t xml:space="preserve">Monarchia </w:t>
      </w:r>
      <w:r w:rsidRPr="00F57CCD">
        <w:rPr>
          <w:rFonts w:eastAsia="Times New Roman" w:cs="Times New Roman"/>
          <w:kern w:val="0"/>
          <w:szCs w:val="24"/>
          <w:lang w:eastAsia="en-AU"/>
          <w14:ligatures w14:val="none"/>
        </w:rPr>
        <w:t xml:space="preserve">that decretalists are 'ignorant and lacking in any philosophical or theological training'; Dante, </w:t>
      </w:r>
      <w:r w:rsidRPr="00F57CCD">
        <w:rPr>
          <w:rFonts w:eastAsia="Times New Roman" w:cs="Times New Roman"/>
          <w:i/>
          <w:iCs/>
          <w:kern w:val="0"/>
          <w:szCs w:val="24"/>
          <w:lang w:eastAsia="en-AU"/>
          <w14:ligatures w14:val="none"/>
        </w:rPr>
        <w:t>Monarchia</w:t>
      </w:r>
      <w:r w:rsidRPr="00F57CCD">
        <w:rPr>
          <w:rFonts w:eastAsia="Times New Roman" w:cs="Times New Roman"/>
          <w:kern w:val="0"/>
          <w:szCs w:val="24"/>
          <w:lang w:eastAsia="en-AU"/>
          <w14:ligatures w14:val="none"/>
        </w:rPr>
        <w:t>, Prue Shaw ed. and trans., Cambridge University Press, 1995, 105.</w:t>
      </w:r>
    </w:p>
    <w:p w14:paraId="42076B30"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22" w:name="n24"/>
      <w:bookmarkEnd w:id="22"/>
      <w:r w:rsidRPr="00F57CCD">
        <w:rPr>
          <w:rFonts w:eastAsia="Times New Roman" w:cs="Times New Roman"/>
          <w:b/>
          <w:bCs/>
          <w:kern w:val="0"/>
          <w:szCs w:val="24"/>
          <w:lang w:eastAsia="en-AU"/>
          <w14:ligatures w14:val="none"/>
        </w:rPr>
        <w:t>Note 24:</w:t>
      </w:r>
      <w:r w:rsidRPr="00F57CCD">
        <w:rPr>
          <w:rFonts w:eastAsia="Times New Roman" w:cs="Times New Roman"/>
          <w:kern w:val="0"/>
          <w:szCs w:val="24"/>
          <w:lang w:eastAsia="en-AU"/>
          <w14:ligatures w14:val="none"/>
        </w:rPr>
        <w:t xml:space="preserve"> Francis's quaestio is edited in Long, op. cit.; the quotation comes from 158.</w:t>
      </w:r>
    </w:p>
    <w:p w14:paraId="31A7E6AE"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23" w:name="n25"/>
      <w:bookmarkEnd w:id="23"/>
      <w:r w:rsidRPr="00F57CCD">
        <w:rPr>
          <w:rFonts w:eastAsia="Times New Roman" w:cs="Times New Roman"/>
          <w:b/>
          <w:bCs/>
          <w:kern w:val="0"/>
          <w:szCs w:val="24"/>
          <w:lang w:eastAsia="en-AU"/>
          <w14:ligatures w14:val="none"/>
        </w:rPr>
        <w:t>Note 25:</w:t>
      </w:r>
      <w:r w:rsidRPr="00F57CCD">
        <w:rPr>
          <w:rFonts w:eastAsia="Times New Roman" w:cs="Times New Roman"/>
          <w:kern w:val="0"/>
          <w:szCs w:val="24"/>
          <w:lang w:eastAsia="en-AU"/>
          <w14:ligatures w14:val="none"/>
        </w:rPr>
        <w:t xml:space="preserve"> Arthur Stephen McGrade, 'The Medieval Idea of Heresy: What Are We to Make of It?' in </w:t>
      </w:r>
      <w:r w:rsidRPr="00F57CCD">
        <w:rPr>
          <w:rFonts w:eastAsia="Times New Roman" w:cs="Times New Roman"/>
          <w:i/>
          <w:iCs/>
          <w:kern w:val="0"/>
          <w:szCs w:val="24"/>
          <w:lang w:eastAsia="en-AU"/>
          <w14:ligatures w14:val="none"/>
        </w:rPr>
        <w:t>The Medieval Church: universities, heresy and the religious life: essays in honour of Gordon Leff</w:t>
      </w:r>
      <w:r w:rsidRPr="00F57CCD">
        <w:rPr>
          <w:rFonts w:eastAsia="Times New Roman" w:cs="Times New Roman"/>
          <w:kern w:val="0"/>
          <w:szCs w:val="24"/>
          <w:lang w:eastAsia="en-AU"/>
          <w14:ligatures w14:val="none"/>
        </w:rPr>
        <w:t>, edited Peter Biller and Barrie Dobson, Woodbridge, Boydell Press, 1999,, pp. 111-139. Mcgrade's article is a splendid account of how Ockham and his contemporaries understood heresy.</w:t>
      </w:r>
    </w:p>
    <w:p w14:paraId="11497DAD"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24" w:name="n26"/>
      <w:bookmarkEnd w:id="24"/>
      <w:r w:rsidRPr="00F57CCD">
        <w:rPr>
          <w:rFonts w:eastAsia="Times New Roman" w:cs="Times New Roman"/>
          <w:b/>
          <w:bCs/>
          <w:kern w:val="0"/>
          <w:szCs w:val="24"/>
          <w:lang w:eastAsia="en-AU"/>
          <w14:ligatures w14:val="none"/>
        </w:rPr>
        <w:t>Note 26:</w:t>
      </w:r>
      <w:r w:rsidRPr="00F57CCD">
        <w:rPr>
          <w:rFonts w:eastAsia="Times New Roman" w:cs="Times New Roman"/>
          <w:kern w:val="0"/>
          <w:szCs w:val="24"/>
          <w:lang w:eastAsia="en-AU"/>
          <w14:ligatures w14:val="none"/>
        </w:rPr>
        <w:t xml:space="preserve"> McGrade affirms that 'there is an increasing tendency in this period to link rejection of papal authority with heresy' (ibid., p. 128) and cites the view of Jeffrey B. Russell that 'one is obliged to adopt a very practical approach: heresy (at least from about 1050) was doctrine condemned by Rome'; (ibid., p. 114).</w:t>
      </w:r>
    </w:p>
    <w:p w14:paraId="4B670EDE"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25" w:name="n27"/>
      <w:bookmarkEnd w:id="25"/>
      <w:r w:rsidRPr="00F57CCD">
        <w:rPr>
          <w:rFonts w:eastAsia="Times New Roman" w:cs="Times New Roman"/>
          <w:b/>
          <w:bCs/>
          <w:kern w:val="0"/>
          <w:szCs w:val="24"/>
          <w:lang w:eastAsia="en-AU"/>
          <w14:ligatures w14:val="none"/>
        </w:rPr>
        <w:t>Note 27:</w:t>
      </w:r>
      <w:r w:rsidRPr="00F57CCD">
        <w:rPr>
          <w:rFonts w:eastAsia="Times New Roman" w:cs="Times New Roman"/>
          <w:kern w:val="0"/>
          <w:szCs w:val="24"/>
          <w:lang w:eastAsia="en-AU"/>
          <w14:ligatures w14:val="none"/>
        </w:rPr>
        <w:t xml:space="preserve"> </w:t>
      </w:r>
      <w:r w:rsidRPr="00F57CCD">
        <w:rPr>
          <w:rFonts w:eastAsia="Times New Roman" w:cs="Times New Roman"/>
          <w:i/>
          <w:iCs/>
          <w:kern w:val="0"/>
          <w:szCs w:val="24"/>
          <w:lang w:eastAsia="en-AU"/>
          <w14:ligatures w14:val="none"/>
        </w:rPr>
        <w:t>Summa Theologica</w:t>
      </w:r>
      <w:r w:rsidRPr="00F57CCD">
        <w:rPr>
          <w:rFonts w:eastAsia="Times New Roman" w:cs="Times New Roman"/>
          <w:kern w:val="0"/>
          <w:szCs w:val="24"/>
          <w:lang w:eastAsia="en-AU"/>
          <w14:ligatures w14:val="none"/>
        </w:rPr>
        <w:t>, 2a2ae, q.11, art.2. He cites 24, q. 1, ch. 13 as proof of the pope's authority in the matter.</w:t>
      </w:r>
    </w:p>
    <w:p w14:paraId="4BB23D41"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26" w:name="n28"/>
      <w:bookmarkEnd w:id="26"/>
      <w:r w:rsidRPr="00F57CCD">
        <w:rPr>
          <w:rFonts w:eastAsia="Times New Roman" w:cs="Times New Roman"/>
          <w:b/>
          <w:bCs/>
          <w:kern w:val="0"/>
          <w:szCs w:val="24"/>
          <w:lang w:eastAsia="en-AU"/>
          <w14:ligatures w14:val="none"/>
        </w:rPr>
        <w:t>Note 28:</w:t>
      </w:r>
      <w:r w:rsidRPr="00F57CCD">
        <w:rPr>
          <w:rFonts w:eastAsia="Times New Roman" w:cs="Times New Roman"/>
          <w:kern w:val="0"/>
          <w:szCs w:val="24"/>
          <w:lang w:eastAsia="en-AU"/>
          <w14:ligatures w14:val="none"/>
        </w:rPr>
        <w:t xml:space="preserve"> Fully explicated in McGrade, </w:t>
      </w:r>
      <w:r w:rsidRPr="00F57CCD">
        <w:rPr>
          <w:rFonts w:eastAsia="Times New Roman" w:cs="Times New Roman"/>
          <w:i/>
          <w:iCs/>
          <w:kern w:val="0"/>
          <w:szCs w:val="24"/>
          <w:lang w:eastAsia="en-AU"/>
          <w14:ligatures w14:val="none"/>
        </w:rPr>
        <w:t>The Political Thought of William of Ockham</w:t>
      </w:r>
      <w:r w:rsidRPr="00F57CCD">
        <w:rPr>
          <w:rFonts w:eastAsia="Times New Roman" w:cs="Times New Roman"/>
          <w:kern w:val="0"/>
          <w:szCs w:val="24"/>
          <w:lang w:eastAsia="en-AU"/>
          <w14:ligatures w14:val="none"/>
        </w:rPr>
        <w:t>, pp. 48-63.</w:t>
      </w:r>
    </w:p>
    <w:p w14:paraId="0FE4C1F4"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27" w:name="n29"/>
      <w:bookmarkEnd w:id="27"/>
      <w:r w:rsidRPr="00F57CCD">
        <w:rPr>
          <w:rFonts w:eastAsia="Times New Roman" w:cs="Times New Roman"/>
          <w:b/>
          <w:bCs/>
          <w:kern w:val="0"/>
          <w:szCs w:val="24"/>
          <w:lang w:eastAsia="en-AU"/>
          <w14:ligatures w14:val="none"/>
        </w:rPr>
        <w:t>Note 29:</w:t>
      </w:r>
      <w:r w:rsidRPr="00F57CCD">
        <w:rPr>
          <w:rFonts w:eastAsia="Times New Roman" w:cs="Times New Roman"/>
          <w:kern w:val="0"/>
          <w:szCs w:val="24"/>
          <w:lang w:eastAsia="en-AU"/>
          <w14:ligatures w14:val="none"/>
        </w:rPr>
        <w:t xml:space="preserve"> The subject of heresy was not ignored in the </w:t>
      </w:r>
      <w:r w:rsidRPr="00F57CCD">
        <w:rPr>
          <w:rFonts w:eastAsia="Times New Roman" w:cs="Times New Roman"/>
          <w:i/>
          <w:iCs/>
          <w:kern w:val="0"/>
          <w:szCs w:val="24"/>
          <w:lang w:eastAsia="en-AU"/>
          <w14:ligatures w14:val="none"/>
        </w:rPr>
        <w:t>Decretum</w:t>
      </w:r>
      <w:r w:rsidRPr="00F57CCD">
        <w:rPr>
          <w:rFonts w:eastAsia="Times New Roman" w:cs="Times New Roman"/>
          <w:kern w:val="0"/>
          <w:szCs w:val="24"/>
          <w:lang w:eastAsia="en-AU"/>
          <w14:ligatures w14:val="none"/>
        </w:rPr>
        <w:t>, but the overwhelming majority of references to it concern simony.</w:t>
      </w:r>
    </w:p>
    <w:p w14:paraId="55F1713A"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28" w:name="n30"/>
      <w:bookmarkEnd w:id="28"/>
      <w:r w:rsidRPr="00F57CCD">
        <w:rPr>
          <w:rFonts w:eastAsia="Times New Roman" w:cs="Times New Roman"/>
          <w:b/>
          <w:bCs/>
          <w:kern w:val="0"/>
          <w:szCs w:val="24"/>
          <w:lang w:eastAsia="en-AU"/>
          <w14:ligatures w14:val="none"/>
        </w:rPr>
        <w:t>Note 30:</w:t>
      </w:r>
      <w:r w:rsidRPr="00F57CCD">
        <w:rPr>
          <w:rFonts w:eastAsia="Times New Roman" w:cs="Times New Roman"/>
          <w:kern w:val="0"/>
          <w:szCs w:val="24"/>
          <w:lang w:eastAsia="en-AU"/>
          <w14:ligatures w14:val="none"/>
        </w:rPr>
        <w:t xml:space="preserve"> Alan's tract is in PL, 210, cols 305-430.</w:t>
      </w:r>
    </w:p>
    <w:p w14:paraId="2A9191C4"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29" w:name="n31"/>
      <w:bookmarkEnd w:id="29"/>
      <w:r w:rsidRPr="00F57CCD">
        <w:rPr>
          <w:rFonts w:eastAsia="Times New Roman" w:cs="Times New Roman"/>
          <w:b/>
          <w:bCs/>
          <w:kern w:val="0"/>
          <w:szCs w:val="24"/>
          <w:lang w:eastAsia="en-AU"/>
          <w14:ligatures w14:val="none"/>
        </w:rPr>
        <w:t>Note 31:</w:t>
      </w:r>
      <w:r w:rsidRPr="00F57CCD">
        <w:rPr>
          <w:rFonts w:eastAsia="Times New Roman" w:cs="Times New Roman"/>
          <w:kern w:val="0"/>
          <w:szCs w:val="24"/>
          <w:lang w:eastAsia="en-AU"/>
          <w14:ligatures w14:val="none"/>
        </w:rPr>
        <w:t xml:space="preserve"> Alvarus's treatise is (partially) edited in Scholz, op. cit., 491-514; the reference is from p.513.</w:t>
      </w:r>
    </w:p>
    <w:p w14:paraId="2D91E1EC"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30" w:name="n32"/>
      <w:bookmarkEnd w:id="30"/>
      <w:r w:rsidRPr="00F57CCD">
        <w:rPr>
          <w:rFonts w:eastAsia="Times New Roman" w:cs="Times New Roman"/>
          <w:b/>
          <w:bCs/>
          <w:kern w:val="0"/>
          <w:szCs w:val="24"/>
          <w:lang w:eastAsia="en-AU"/>
          <w14:ligatures w14:val="none"/>
        </w:rPr>
        <w:t>Note 32:</w:t>
      </w:r>
      <w:r w:rsidRPr="00F57CCD">
        <w:rPr>
          <w:rFonts w:eastAsia="Times New Roman" w:cs="Times New Roman"/>
          <w:kern w:val="0"/>
          <w:szCs w:val="24"/>
          <w:lang w:eastAsia="en-AU"/>
          <w14:ligatures w14:val="none"/>
        </w:rPr>
        <w:t xml:space="preserve"> See McGrade's article, 'The Medieval Idea of Heresy', cited above for an account of contemporary views. Commenting on the view of heresy in the statements of Church councils he notes 'the absence of any formal general definition of heresy or heretic.' (p. 121)</w:t>
      </w:r>
    </w:p>
    <w:p w14:paraId="5094ECC8"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31" w:name="n33"/>
      <w:bookmarkEnd w:id="31"/>
      <w:r w:rsidRPr="00F57CCD">
        <w:rPr>
          <w:rFonts w:eastAsia="Times New Roman" w:cs="Times New Roman"/>
          <w:b/>
          <w:bCs/>
          <w:kern w:val="0"/>
          <w:szCs w:val="24"/>
          <w:lang w:eastAsia="en-AU"/>
          <w14:ligatures w14:val="none"/>
        </w:rPr>
        <w:t>Note 33:</w:t>
      </w:r>
      <w:r w:rsidRPr="00F57CCD">
        <w:rPr>
          <w:rFonts w:eastAsia="Times New Roman" w:cs="Times New Roman"/>
          <w:kern w:val="0"/>
          <w:szCs w:val="24"/>
          <w:lang w:eastAsia="en-AU"/>
          <w14:ligatures w14:val="none"/>
        </w:rPr>
        <w:t xml:space="preserve"> As a typical example I mention the commentary by Alexander of Hales: on dist. 31 of </w:t>
      </w:r>
      <w:r w:rsidRPr="00F57CCD">
        <w:rPr>
          <w:rFonts w:eastAsia="Times New Roman" w:cs="Times New Roman"/>
          <w:i/>
          <w:iCs/>
          <w:kern w:val="0"/>
          <w:szCs w:val="24"/>
          <w:lang w:eastAsia="en-AU"/>
          <w14:ligatures w14:val="none"/>
        </w:rPr>
        <w:t>I Sentences</w:t>
      </w:r>
      <w:r w:rsidRPr="00F57CCD">
        <w:rPr>
          <w:rFonts w:eastAsia="Times New Roman" w:cs="Times New Roman"/>
          <w:kern w:val="0"/>
          <w:szCs w:val="24"/>
          <w:lang w:eastAsia="en-AU"/>
          <w14:ligatures w14:val="none"/>
        </w:rPr>
        <w:t xml:space="preserve"> he lists various heresies and their errors; on dist. 44 of </w:t>
      </w:r>
      <w:r w:rsidRPr="00F57CCD">
        <w:rPr>
          <w:rFonts w:eastAsia="Times New Roman" w:cs="Times New Roman"/>
          <w:i/>
          <w:iCs/>
          <w:kern w:val="0"/>
          <w:szCs w:val="24"/>
          <w:lang w:eastAsia="en-AU"/>
          <w14:ligatures w14:val="none"/>
        </w:rPr>
        <w:t>II Sentences</w:t>
      </w:r>
      <w:r w:rsidRPr="00F57CCD">
        <w:rPr>
          <w:rFonts w:eastAsia="Times New Roman" w:cs="Times New Roman"/>
          <w:kern w:val="0"/>
          <w:szCs w:val="24"/>
          <w:lang w:eastAsia="en-AU"/>
          <w14:ligatures w14:val="none"/>
        </w:rPr>
        <w:t xml:space="preserve"> he asks whether heretics should be coerced by the secular powers; on dist. 37 of </w:t>
      </w:r>
      <w:r w:rsidRPr="00F57CCD">
        <w:rPr>
          <w:rFonts w:eastAsia="Times New Roman" w:cs="Times New Roman"/>
          <w:i/>
          <w:iCs/>
          <w:kern w:val="0"/>
          <w:szCs w:val="24"/>
          <w:lang w:eastAsia="en-AU"/>
          <w14:ligatures w14:val="none"/>
        </w:rPr>
        <w:t>III Sentences</w:t>
      </w:r>
      <w:r w:rsidRPr="00F57CCD">
        <w:rPr>
          <w:rFonts w:eastAsia="Times New Roman" w:cs="Times New Roman"/>
          <w:kern w:val="0"/>
          <w:szCs w:val="24"/>
          <w:lang w:eastAsia="en-AU"/>
          <w14:ligatures w14:val="none"/>
        </w:rPr>
        <w:t xml:space="preserve"> he alludes to the legitimacy of capital punishment for heretics; and on dist. 6, 13, 18, 19 and 39 of </w:t>
      </w:r>
      <w:r w:rsidRPr="00F57CCD">
        <w:rPr>
          <w:rFonts w:eastAsia="Times New Roman" w:cs="Times New Roman"/>
          <w:i/>
          <w:iCs/>
          <w:kern w:val="0"/>
          <w:szCs w:val="24"/>
          <w:lang w:eastAsia="en-AU"/>
          <w14:ligatures w14:val="none"/>
        </w:rPr>
        <w:t>IV Sentences</w:t>
      </w:r>
      <w:r w:rsidRPr="00F57CCD">
        <w:rPr>
          <w:rFonts w:eastAsia="Times New Roman" w:cs="Times New Roman"/>
          <w:kern w:val="0"/>
          <w:szCs w:val="24"/>
          <w:lang w:eastAsia="en-AU"/>
          <w14:ligatures w14:val="none"/>
        </w:rPr>
        <w:t xml:space="preserve"> he discusses different sacraments and the rights of heretics.</w:t>
      </w:r>
    </w:p>
    <w:p w14:paraId="7C4C8A85"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32" w:name="n34"/>
      <w:bookmarkEnd w:id="32"/>
      <w:r w:rsidRPr="00F57CCD">
        <w:rPr>
          <w:rFonts w:eastAsia="Times New Roman" w:cs="Times New Roman"/>
          <w:b/>
          <w:bCs/>
          <w:kern w:val="0"/>
          <w:szCs w:val="24"/>
          <w:lang w:eastAsia="en-AU"/>
          <w14:ligatures w14:val="none"/>
        </w:rPr>
        <w:t>Note 34:</w:t>
      </w:r>
      <w:r w:rsidRPr="00F57CCD">
        <w:rPr>
          <w:rFonts w:eastAsia="Times New Roman" w:cs="Times New Roman"/>
          <w:kern w:val="0"/>
          <w:szCs w:val="24"/>
          <w:lang w:eastAsia="en-AU"/>
          <w14:ligatures w14:val="none"/>
        </w:rPr>
        <w:t xml:space="preserve"> </w:t>
      </w:r>
      <w:r w:rsidRPr="00F57CCD">
        <w:rPr>
          <w:rFonts w:eastAsia="Times New Roman" w:cs="Times New Roman"/>
          <w:i/>
          <w:iCs/>
          <w:kern w:val="0"/>
          <w:szCs w:val="24"/>
          <w:lang w:eastAsia="en-AU"/>
          <w14:ligatures w14:val="none"/>
        </w:rPr>
        <w:t>Summa Theologiae</w:t>
      </w:r>
      <w:r w:rsidRPr="00F57CCD">
        <w:rPr>
          <w:rFonts w:eastAsia="Times New Roman" w:cs="Times New Roman"/>
          <w:kern w:val="0"/>
          <w:szCs w:val="24"/>
          <w:lang w:eastAsia="en-AU"/>
          <w14:ligatures w14:val="none"/>
        </w:rPr>
        <w:t>, 2a2ae q.11.</w:t>
      </w:r>
    </w:p>
    <w:p w14:paraId="1F6B16AA"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33" w:name="n35"/>
      <w:bookmarkEnd w:id="33"/>
      <w:r w:rsidRPr="00F57CCD">
        <w:rPr>
          <w:rFonts w:eastAsia="Times New Roman" w:cs="Times New Roman"/>
          <w:b/>
          <w:bCs/>
          <w:kern w:val="0"/>
          <w:szCs w:val="24"/>
          <w:lang w:eastAsia="en-AU"/>
          <w14:ligatures w14:val="none"/>
        </w:rPr>
        <w:lastRenderedPageBreak/>
        <w:t>Note 35:</w:t>
      </w:r>
      <w:r w:rsidRPr="00F57CCD">
        <w:rPr>
          <w:rFonts w:eastAsia="Times New Roman" w:cs="Times New Roman"/>
          <w:kern w:val="0"/>
          <w:szCs w:val="24"/>
          <w:lang w:eastAsia="en-AU"/>
          <w14:ligatures w14:val="none"/>
        </w:rPr>
        <w:t xml:space="preserve"> McGrade, 'The Medieval Idea of Heresy', p 122, quotes Augustine on the difficulty of defining a heretic and his belief that if such a definition were available 'who does not see how beneficial it would be?' But even Augustine did not provide such a definition.</w:t>
      </w:r>
    </w:p>
    <w:p w14:paraId="6A514575"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34" w:name="n36"/>
      <w:bookmarkEnd w:id="34"/>
      <w:r w:rsidRPr="00F57CCD">
        <w:rPr>
          <w:rFonts w:eastAsia="Times New Roman" w:cs="Times New Roman"/>
          <w:b/>
          <w:bCs/>
          <w:kern w:val="0"/>
          <w:szCs w:val="24"/>
          <w:lang w:eastAsia="en-AU"/>
          <w14:ligatures w14:val="none"/>
        </w:rPr>
        <w:t>Note 36:</w:t>
      </w:r>
      <w:r w:rsidRPr="00F57CCD">
        <w:rPr>
          <w:rFonts w:eastAsia="Times New Roman" w:cs="Times New Roman"/>
          <w:kern w:val="0"/>
          <w:szCs w:val="24"/>
          <w:lang w:eastAsia="en-AU"/>
          <w14:ligatures w14:val="none"/>
        </w:rPr>
        <w:t xml:space="preserve"> There is a large literature on this subject. Helpful are W. R. Laird, 'Robert Grosseteste on the Subalternate Sciences, </w:t>
      </w:r>
      <w:r w:rsidRPr="00F57CCD">
        <w:rPr>
          <w:rFonts w:eastAsia="Times New Roman" w:cs="Times New Roman"/>
          <w:i/>
          <w:iCs/>
          <w:kern w:val="0"/>
          <w:szCs w:val="24"/>
          <w:lang w:eastAsia="en-AU"/>
          <w14:ligatures w14:val="none"/>
        </w:rPr>
        <w:t>Traditio</w:t>
      </w:r>
      <w:r w:rsidRPr="00F57CCD">
        <w:rPr>
          <w:rFonts w:eastAsia="Times New Roman" w:cs="Times New Roman"/>
          <w:kern w:val="0"/>
          <w:szCs w:val="24"/>
          <w:lang w:eastAsia="en-AU"/>
          <w14:ligatures w14:val="none"/>
        </w:rPr>
        <w:t xml:space="preserve">, XLIII, (1987), pp. 147-169; E. Sylla, 'Autonomous and Handmaiden Science: St. Thomas Aquinas and William of Ockham on the Physics of the Eucharist', in </w:t>
      </w:r>
      <w:r w:rsidRPr="00F57CCD">
        <w:rPr>
          <w:rFonts w:eastAsia="Times New Roman" w:cs="Times New Roman"/>
          <w:i/>
          <w:iCs/>
          <w:kern w:val="0"/>
          <w:szCs w:val="24"/>
          <w:lang w:eastAsia="en-AU"/>
          <w14:ligatures w14:val="none"/>
        </w:rPr>
        <w:t>The Cultural Context of Medieval Learning</w:t>
      </w:r>
      <w:r w:rsidRPr="00F57CCD">
        <w:rPr>
          <w:rFonts w:eastAsia="Times New Roman" w:cs="Times New Roman"/>
          <w:kern w:val="0"/>
          <w:szCs w:val="24"/>
          <w:lang w:eastAsia="en-AU"/>
          <w14:ligatures w14:val="none"/>
        </w:rPr>
        <w:t xml:space="preserve">, edited J. E. Murdoch and E. D. Sylla, Boston Studies in the Philosophy of Science, pp. 349-96; and Gordon Leff, </w:t>
      </w:r>
      <w:r w:rsidRPr="00F57CCD">
        <w:rPr>
          <w:rFonts w:eastAsia="Times New Roman" w:cs="Times New Roman"/>
          <w:i/>
          <w:iCs/>
          <w:kern w:val="0"/>
          <w:szCs w:val="24"/>
          <w:lang w:eastAsia="en-AU"/>
          <w14:ligatures w14:val="none"/>
        </w:rPr>
        <w:t>William of Ockham. The metamorphosis of scholastic discourse</w:t>
      </w:r>
      <w:r w:rsidRPr="00F57CCD">
        <w:rPr>
          <w:rFonts w:eastAsia="Times New Roman" w:cs="Times New Roman"/>
          <w:kern w:val="0"/>
          <w:szCs w:val="24"/>
          <w:lang w:eastAsia="en-AU"/>
          <w14:ligatures w14:val="none"/>
        </w:rPr>
        <w:t xml:space="preserve">, Manchester University Press, 1975, pp. 320-49. There is a translation of one of Ockham's discussions on the subject in Philotheus Boehner (ed.), </w:t>
      </w:r>
      <w:r w:rsidRPr="00F57CCD">
        <w:rPr>
          <w:rFonts w:eastAsia="Times New Roman" w:cs="Times New Roman"/>
          <w:i/>
          <w:iCs/>
          <w:kern w:val="0"/>
          <w:szCs w:val="24"/>
          <w:lang w:eastAsia="en-AU"/>
          <w14:ligatures w14:val="none"/>
        </w:rPr>
        <w:t>Ockham. Philosophical Writings</w:t>
      </w:r>
      <w:r w:rsidRPr="00F57CCD">
        <w:rPr>
          <w:rFonts w:eastAsia="Times New Roman" w:cs="Times New Roman"/>
          <w:kern w:val="0"/>
          <w:szCs w:val="24"/>
          <w:lang w:eastAsia="en-AU"/>
          <w14:ligatures w14:val="none"/>
        </w:rPr>
        <w:t>, London, Thomas Nelson, 1957, pp. 2-16.</w:t>
      </w:r>
    </w:p>
    <w:p w14:paraId="4AE28134"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35" w:name="n37"/>
      <w:bookmarkEnd w:id="35"/>
      <w:r w:rsidRPr="00F57CCD">
        <w:rPr>
          <w:rFonts w:eastAsia="Times New Roman" w:cs="Times New Roman"/>
          <w:b/>
          <w:bCs/>
          <w:kern w:val="0"/>
          <w:szCs w:val="24"/>
          <w:lang w:eastAsia="en-AU"/>
          <w14:ligatures w14:val="none"/>
        </w:rPr>
        <w:t>Note 37:</w:t>
      </w:r>
      <w:r w:rsidRPr="00F57CCD">
        <w:rPr>
          <w:rFonts w:eastAsia="Times New Roman" w:cs="Times New Roman"/>
          <w:kern w:val="0"/>
          <w:szCs w:val="24"/>
          <w:lang w:eastAsia="en-AU"/>
          <w14:ligatures w14:val="none"/>
        </w:rPr>
        <w:t xml:space="preserve"> See the extracts from his </w:t>
      </w:r>
      <w:r w:rsidRPr="00F57CCD">
        <w:rPr>
          <w:rFonts w:eastAsia="Times New Roman" w:cs="Times New Roman"/>
          <w:i/>
          <w:iCs/>
          <w:kern w:val="0"/>
          <w:szCs w:val="24"/>
          <w:lang w:eastAsia="en-AU"/>
          <w14:ligatures w14:val="none"/>
        </w:rPr>
        <w:t>Summa de potestate ecclesiastica</w:t>
      </w:r>
      <w:r w:rsidRPr="00F57CCD">
        <w:rPr>
          <w:rFonts w:eastAsia="Times New Roman" w:cs="Times New Roman"/>
          <w:kern w:val="0"/>
          <w:szCs w:val="24"/>
          <w:lang w:eastAsia="en-AU"/>
          <w14:ligatures w14:val="none"/>
        </w:rPr>
        <w:t xml:space="preserve"> edited in Long, op. cit., 158-62; the discussion of subalternation is on 161.</w:t>
      </w:r>
    </w:p>
    <w:p w14:paraId="6E8390B6"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36" w:name="n38"/>
      <w:bookmarkEnd w:id="36"/>
      <w:r w:rsidRPr="00F57CCD">
        <w:rPr>
          <w:rFonts w:eastAsia="Times New Roman" w:cs="Times New Roman"/>
          <w:b/>
          <w:bCs/>
          <w:kern w:val="0"/>
          <w:szCs w:val="24"/>
          <w:lang w:eastAsia="en-AU"/>
          <w14:ligatures w14:val="none"/>
        </w:rPr>
        <w:t>Note 38:</w:t>
      </w:r>
      <w:r w:rsidRPr="00F57CCD">
        <w:rPr>
          <w:rFonts w:eastAsia="Times New Roman" w:cs="Times New Roman"/>
          <w:kern w:val="0"/>
          <w:szCs w:val="24"/>
          <w:lang w:eastAsia="en-AU"/>
          <w14:ligatures w14:val="none"/>
        </w:rPr>
        <w:t xml:space="preserve"> Henrici a Segusia cardinalis Hostiensis, </w:t>
      </w:r>
      <w:r w:rsidRPr="00F57CCD">
        <w:rPr>
          <w:rFonts w:eastAsia="Times New Roman" w:cs="Times New Roman"/>
          <w:i/>
          <w:iCs/>
          <w:kern w:val="0"/>
          <w:szCs w:val="24"/>
          <w:lang w:eastAsia="en-AU"/>
          <w14:ligatures w14:val="none"/>
        </w:rPr>
        <w:t>Summa Aurea</w:t>
      </w:r>
      <w:r w:rsidRPr="00F57CCD">
        <w:rPr>
          <w:rFonts w:eastAsia="Times New Roman" w:cs="Times New Roman"/>
          <w:kern w:val="0"/>
          <w:szCs w:val="24"/>
          <w:lang w:eastAsia="en-AU"/>
          <w14:ligatures w14:val="none"/>
        </w:rPr>
        <w:t>, Venice, 1605, p. 7.</w:t>
      </w:r>
    </w:p>
    <w:p w14:paraId="48539ABD" w14:textId="77777777" w:rsidR="00F57CCD" w:rsidRPr="00F57CCD" w:rsidRDefault="00F57CCD" w:rsidP="00F57CCD">
      <w:pPr>
        <w:spacing w:before="100" w:beforeAutospacing="1" w:after="100" w:afterAutospacing="1" w:line="240" w:lineRule="auto"/>
        <w:rPr>
          <w:rFonts w:eastAsia="Times New Roman" w:cs="Times New Roman"/>
          <w:kern w:val="0"/>
          <w:szCs w:val="24"/>
          <w:lang w:eastAsia="en-AU"/>
          <w14:ligatures w14:val="none"/>
        </w:rPr>
      </w:pPr>
      <w:bookmarkStart w:id="37" w:name="n39"/>
      <w:bookmarkEnd w:id="37"/>
      <w:r w:rsidRPr="00F57CCD">
        <w:rPr>
          <w:rFonts w:eastAsia="Times New Roman" w:cs="Times New Roman"/>
          <w:b/>
          <w:bCs/>
          <w:kern w:val="0"/>
          <w:szCs w:val="24"/>
          <w:lang w:eastAsia="en-AU"/>
          <w14:ligatures w14:val="none"/>
        </w:rPr>
        <w:t>Note 39:</w:t>
      </w:r>
      <w:r w:rsidRPr="00F57CCD">
        <w:rPr>
          <w:rFonts w:eastAsia="Times New Roman" w:cs="Times New Roman"/>
          <w:kern w:val="0"/>
          <w:szCs w:val="24"/>
          <w:lang w:eastAsia="en-AU"/>
          <w14:ligatures w14:val="none"/>
        </w:rPr>
        <w:t xml:space="preserve"> ibid, p. 11. </w:t>
      </w:r>
    </w:p>
    <w:p w14:paraId="7CF57ACB" w14:textId="77777777" w:rsidR="00F84528" w:rsidRPr="00F57CCD" w:rsidRDefault="00F84528" w:rsidP="00F57CCD"/>
    <w:sectPr w:rsidR="00F84528" w:rsidRPr="00F57CCD" w:rsidSect="00F239CF">
      <w:pgSz w:w="7938" w:h="16840" w:code="9"/>
      <w:pgMar w:top="720" w:right="567"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CD"/>
    <w:rsid w:val="001874C4"/>
    <w:rsid w:val="00195EEC"/>
    <w:rsid w:val="00370B30"/>
    <w:rsid w:val="00504527"/>
    <w:rsid w:val="0080402C"/>
    <w:rsid w:val="00B15A4C"/>
    <w:rsid w:val="00C20CFB"/>
    <w:rsid w:val="00F239CF"/>
    <w:rsid w:val="00F57CCD"/>
    <w:rsid w:val="00F84528"/>
    <w:rsid w:val="00FD5642"/>
    <w:rsid w:val="00FF1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54AD"/>
  <w15:chartTrackingRefBased/>
  <w15:docId w15:val="{60482015-A7D2-459A-B85C-99AFD258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CFB"/>
    <w:pPr>
      <w:spacing w:after="120"/>
    </w:pPr>
    <w:rPr>
      <w:rFonts w:ascii="Times New Roman" w:hAnsi="Times New Roman"/>
      <w:sz w:val="24"/>
    </w:rPr>
  </w:style>
  <w:style w:type="paragraph" w:styleId="Heading1">
    <w:name w:val="heading 1"/>
    <w:basedOn w:val="Normal"/>
    <w:next w:val="Normal"/>
    <w:link w:val="Heading1Char"/>
    <w:autoRedefine/>
    <w:uiPriority w:val="9"/>
    <w:qFormat/>
    <w:rsid w:val="00C20CFB"/>
    <w:pPr>
      <w:keepNext/>
      <w:keepLines/>
      <w:spacing w:before="240" w:after="0"/>
      <w:jc w:val="center"/>
      <w:outlineLvl w:val="0"/>
    </w:pPr>
    <w:rPr>
      <w:rFonts w:ascii="Garamond" w:eastAsiaTheme="majorEastAsia" w:hAnsi="Garamond" w:cstheme="majorBidi"/>
      <w:b/>
      <w:i/>
      <w:caps/>
      <w:color w:val="000000" w:themeColor="text1"/>
      <w:sz w:val="36"/>
      <w:szCs w:val="32"/>
    </w:rPr>
  </w:style>
  <w:style w:type="paragraph" w:styleId="Heading2">
    <w:name w:val="heading 2"/>
    <w:basedOn w:val="Normal"/>
    <w:next w:val="Normal"/>
    <w:link w:val="Heading2Char"/>
    <w:autoRedefine/>
    <w:uiPriority w:val="9"/>
    <w:unhideWhenUsed/>
    <w:qFormat/>
    <w:rsid w:val="00C20CFB"/>
    <w:pPr>
      <w:keepNext/>
      <w:keepLines/>
      <w:spacing w:before="120"/>
      <w:jc w:val="center"/>
      <w:outlineLvl w:val="1"/>
    </w:pPr>
    <w:rPr>
      <w:rFonts w:ascii="Garamond" w:eastAsiaTheme="majorEastAsia" w:hAnsi="Garamond" w:cstheme="majorBidi"/>
      <w:b/>
      <w:i/>
      <w:caps/>
      <w:color w:val="000000" w:themeColor="text1"/>
      <w:sz w:val="32"/>
      <w:szCs w:val="26"/>
      <w:u w:val="single"/>
    </w:rPr>
  </w:style>
  <w:style w:type="paragraph" w:styleId="Heading3">
    <w:name w:val="heading 3"/>
    <w:basedOn w:val="Normal"/>
    <w:next w:val="Normal"/>
    <w:link w:val="Heading3Char"/>
    <w:autoRedefine/>
    <w:uiPriority w:val="9"/>
    <w:unhideWhenUsed/>
    <w:qFormat/>
    <w:rsid w:val="00C20CFB"/>
    <w:pPr>
      <w:keepNext/>
      <w:keepLines/>
      <w:spacing w:before="120"/>
      <w:jc w:val="center"/>
      <w:outlineLvl w:val="2"/>
    </w:pPr>
    <w:rPr>
      <w:rFonts w:ascii="Garamond" w:eastAsiaTheme="majorEastAsia" w:hAnsi="Garamond" w:cstheme="majorBidi"/>
      <w:b/>
      <w:i/>
      <w:smallCaps/>
      <w:sz w:val="28"/>
      <w:szCs w:val="24"/>
      <w:u w:val="single"/>
    </w:rPr>
  </w:style>
  <w:style w:type="paragraph" w:styleId="Heading4">
    <w:name w:val="heading 4"/>
    <w:basedOn w:val="Normal"/>
    <w:next w:val="Normal"/>
    <w:link w:val="Heading4Char"/>
    <w:autoRedefine/>
    <w:uiPriority w:val="9"/>
    <w:unhideWhenUsed/>
    <w:qFormat/>
    <w:rsid w:val="00C20CFB"/>
    <w:pPr>
      <w:keepNext/>
      <w:keepLines/>
      <w:spacing w:before="120"/>
      <w:jc w:val="center"/>
      <w:outlineLvl w:val="3"/>
    </w:pPr>
    <w:rPr>
      <w:rFonts w:ascii="Garamond" w:eastAsiaTheme="majorEastAsia" w:hAnsi="Garamond" w:cstheme="majorBidi"/>
      <w:b/>
      <w:i/>
      <w:iCs/>
      <w:smallCaps/>
      <w:u w:val="single"/>
    </w:rPr>
  </w:style>
  <w:style w:type="paragraph" w:styleId="Heading5">
    <w:name w:val="heading 5"/>
    <w:basedOn w:val="Normal"/>
    <w:next w:val="Normal"/>
    <w:link w:val="Heading5Char"/>
    <w:autoRedefine/>
    <w:uiPriority w:val="9"/>
    <w:unhideWhenUsed/>
    <w:qFormat/>
    <w:rsid w:val="00C20CFB"/>
    <w:pPr>
      <w:keepNext/>
      <w:keepLines/>
      <w:spacing w:before="40" w:after="0"/>
      <w:outlineLvl w:val="4"/>
    </w:pPr>
    <w:rPr>
      <w:rFonts w:ascii="Garamond" w:eastAsiaTheme="majorEastAsia" w:hAnsi="Garamond" w:cstheme="majorBidi"/>
      <w:b/>
      <w:i/>
      <w:smallCaps/>
      <w:sz w:val="28"/>
      <w:u w:val="single"/>
    </w:rPr>
  </w:style>
  <w:style w:type="paragraph" w:styleId="Heading6">
    <w:name w:val="heading 6"/>
    <w:basedOn w:val="Normal"/>
    <w:next w:val="Normal"/>
    <w:link w:val="Heading6Char"/>
    <w:autoRedefine/>
    <w:uiPriority w:val="9"/>
    <w:unhideWhenUsed/>
    <w:qFormat/>
    <w:rsid w:val="00C20CFB"/>
    <w:pPr>
      <w:keepNext/>
      <w:keepLines/>
      <w:spacing w:before="120"/>
      <w:outlineLvl w:val="5"/>
    </w:pPr>
    <w:rPr>
      <w:rFonts w:ascii="Garamond" w:eastAsiaTheme="majorEastAsia" w:hAnsi="Garamond" w:cstheme="majorBidi"/>
      <w:b/>
      <w:i/>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0CFB"/>
    <w:rPr>
      <w:rFonts w:ascii="Garamond" w:eastAsiaTheme="majorEastAsia" w:hAnsi="Garamond" w:cstheme="majorBidi"/>
      <w:b/>
      <w:i/>
      <w:smallCaps/>
      <w:sz w:val="28"/>
      <w:szCs w:val="24"/>
      <w:u w:val="single"/>
    </w:rPr>
  </w:style>
  <w:style w:type="character" w:customStyle="1" w:styleId="Heading4Char">
    <w:name w:val="Heading 4 Char"/>
    <w:basedOn w:val="DefaultParagraphFont"/>
    <w:link w:val="Heading4"/>
    <w:uiPriority w:val="9"/>
    <w:rsid w:val="00C20CFB"/>
    <w:rPr>
      <w:rFonts w:ascii="Garamond" w:eastAsiaTheme="majorEastAsia" w:hAnsi="Garamond" w:cstheme="majorBidi"/>
      <w:b/>
      <w:i/>
      <w:iCs/>
      <w:smallCaps/>
      <w:sz w:val="24"/>
      <w:u w:val="single"/>
    </w:rPr>
  </w:style>
  <w:style w:type="character" w:customStyle="1" w:styleId="Heading2Char">
    <w:name w:val="Heading 2 Char"/>
    <w:basedOn w:val="DefaultParagraphFont"/>
    <w:link w:val="Heading2"/>
    <w:uiPriority w:val="9"/>
    <w:rsid w:val="00C20CFB"/>
    <w:rPr>
      <w:rFonts w:ascii="Garamond" w:eastAsiaTheme="majorEastAsia" w:hAnsi="Garamond" w:cstheme="majorBidi"/>
      <w:b/>
      <w:i/>
      <w:caps/>
      <w:color w:val="000000" w:themeColor="text1"/>
      <w:sz w:val="32"/>
      <w:szCs w:val="26"/>
      <w:u w:val="single"/>
    </w:rPr>
  </w:style>
  <w:style w:type="character" w:customStyle="1" w:styleId="Heading1Char">
    <w:name w:val="Heading 1 Char"/>
    <w:basedOn w:val="DefaultParagraphFont"/>
    <w:link w:val="Heading1"/>
    <w:uiPriority w:val="9"/>
    <w:rsid w:val="00C20CFB"/>
    <w:rPr>
      <w:rFonts w:ascii="Garamond" w:eastAsiaTheme="majorEastAsia" w:hAnsi="Garamond" w:cstheme="majorBidi"/>
      <w:b/>
      <w:i/>
      <w:caps/>
      <w:color w:val="000000" w:themeColor="text1"/>
      <w:sz w:val="36"/>
      <w:szCs w:val="32"/>
    </w:rPr>
  </w:style>
  <w:style w:type="character" w:customStyle="1" w:styleId="Heading5Char">
    <w:name w:val="Heading 5 Char"/>
    <w:basedOn w:val="DefaultParagraphFont"/>
    <w:link w:val="Heading5"/>
    <w:uiPriority w:val="9"/>
    <w:rsid w:val="00C20CFB"/>
    <w:rPr>
      <w:rFonts w:ascii="Garamond" w:eastAsiaTheme="majorEastAsia" w:hAnsi="Garamond" w:cstheme="majorBidi"/>
      <w:b/>
      <w:i/>
      <w:smallCaps/>
      <w:sz w:val="28"/>
      <w:u w:val="single"/>
    </w:rPr>
  </w:style>
  <w:style w:type="character" w:customStyle="1" w:styleId="Heading6Char">
    <w:name w:val="Heading 6 Char"/>
    <w:basedOn w:val="DefaultParagraphFont"/>
    <w:link w:val="Heading6"/>
    <w:uiPriority w:val="9"/>
    <w:rsid w:val="00C20CFB"/>
    <w:rPr>
      <w:rFonts w:ascii="Garamond" w:eastAsiaTheme="majorEastAsia" w:hAnsi="Garamond" w:cstheme="majorBidi"/>
      <w:b/>
      <w:i/>
      <w:smallCaps/>
      <w:sz w:val="24"/>
      <w:u w:val="single"/>
    </w:rPr>
  </w:style>
  <w:style w:type="paragraph" w:styleId="NormalWeb">
    <w:name w:val="Normal (Web)"/>
    <w:basedOn w:val="Normal"/>
    <w:uiPriority w:val="99"/>
    <w:semiHidden/>
    <w:unhideWhenUsed/>
    <w:rsid w:val="00195EEC"/>
    <w:pPr>
      <w:spacing w:before="100" w:beforeAutospacing="1" w:after="100" w:afterAutospacing="1" w:line="240" w:lineRule="auto"/>
    </w:pPr>
    <w:rPr>
      <w:rFonts w:eastAsia="Times New Roman" w:cs="Times New Roman"/>
      <w:kern w:val="0"/>
      <w:szCs w:val="24"/>
      <w:lang w:eastAsia="en-AU"/>
    </w:rPr>
  </w:style>
  <w:style w:type="character" w:styleId="Strong">
    <w:name w:val="Strong"/>
    <w:basedOn w:val="DefaultParagraphFont"/>
    <w:uiPriority w:val="22"/>
    <w:qFormat/>
    <w:rsid w:val="00370B30"/>
    <w:rPr>
      <w:b/>
      <w:bCs/>
    </w:rPr>
  </w:style>
  <w:style w:type="character" w:styleId="Hyperlink">
    <w:name w:val="Hyperlink"/>
    <w:basedOn w:val="DefaultParagraphFont"/>
    <w:uiPriority w:val="99"/>
    <w:semiHidden/>
    <w:unhideWhenUsed/>
    <w:rsid w:val="00F57CCD"/>
    <w:rPr>
      <w:color w:val="0000FF"/>
      <w:u w:val="single"/>
    </w:rPr>
  </w:style>
  <w:style w:type="character" w:styleId="Emphasis">
    <w:name w:val="Emphasis"/>
    <w:basedOn w:val="DefaultParagraphFont"/>
    <w:uiPriority w:val="20"/>
    <w:qFormat/>
    <w:rsid w:val="00F57C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514849">
      <w:bodyDiv w:val="1"/>
      <w:marLeft w:val="0"/>
      <w:marRight w:val="0"/>
      <w:marTop w:val="0"/>
      <w:marBottom w:val="0"/>
      <w:divBdr>
        <w:top w:val="none" w:sz="0" w:space="0" w:color="auto"/>
        <w:left w:val="none" w:sz="0" w:space="0" w:color="auto"/>
        <w:bottom w:val="none" w:sz="0" w:space="0" w:color="auto"/>
        <w:right w:val="none" w:sz="0" w:space="0" w:color="auto"/>
      </w:divBdr>
    </w:div>
    <w:div w:id="20548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s.thebritishacademy.ac.uk/pubs/dialogus/stud.html" TargetMode="External"/><Relationship Id="rId4" Type="http://schemas.openxmlformats.org/officeDocument/2006/relationships/hyperlink" Target="http://publications.thebritishacademy.ac.uk/pubs/dialogus/sigl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1321</Words>
  <Characters>7531</Characters>
  <Application>Microsoft Office Word</Application>
  <DocSecurity>0</DocSecurity>
  <Lines>62</Lines>
  <Paragraphs>17</Paragraphs>
  <ScaleCrop>false</ScaleCrop>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Kilcullen</dc:creator>
  <cp:keywords/>
  <dc:description/>
  <cp:lastModifiedBy>John Kilcullen</cp:lastModifiedBy>
  <cp:revision>4</cp:revision>
  <dcterms:created xsi:type="dcterms:W3CDTF">2024-02-01T02:50:00Z</dcterms:created>
  <dcterms:modified xsi:type="dcterms:W3CDTF">2024-02-01T09:56:00Z</dcterms:modified>
</cp:coreProperties>
</file>