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4A4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r w:rsidRPr="00DB0E54">
        <w:rPr>
          <w:rFonts w:eastAsia="Times New Roman" w:cs="Times New Roman"/>
          <w:b/>
          <w:bCs/>
          <w:kern w:val="0"/>
          <w:szCs w:val="24"/>
          <w:lang w:eastAsia="en-AU"/>
          <w14:ligatures w14:val="none"/>
        </w:rPr>
        <w:t>Note 1</w:t>
      </w:r>
      <w:r w:rsidRPr="00DB0E54">
        <w:rPr>
          <w:rFonts w:eastAsia="Times New Roman" w:cs="Times New Roman"/>
          <w:kern w:val="0"/>
          <w:szCs w:val="24"/>
          <w:lang w:eastAsia="en-AU"/>
          <w14:ligatures w14:val="none"/>
        </w:rPr>
        <w:t xml:space="preserve"> </w:t>
      </w:r>
      <w:r w:rsidRPr="00DB0E54">
        <w:rPr>
          <w:rFonts w:eastAsia="Times New Roman" w:cs="Times New Roman"/>
          <w:b/>
          <w:bCs/>
          <w:kern w:val="0"/>
          <w:szCs w:val="24"/>
          <w:lang w:eastAsia="en-AU"/>
          <w14:ligatures w14:val="none"/>
        </w:rPr>
        <w:t>Latin text:</w:t>
      </w:r>
      <w:r w:rsidRPr="00DB0E54">
        <w:rPr>
          <w:rFonts w:eastAsia="Times New Roman" w:cs="Times New Roman"/>
          <w:kern w:val="0"/>
          <w:szCs w:val="24"/>
          <w:lang w:eastAsia="en-AU"/>
          <w14:ligatures w14:val="none"/>
        </w:rPr>
        <w:t xml:space="preserve"> H.S. Offler (ed.), Guillelmi de Ockham, </w:t>
      </w:r>
      <w:r w:rsidRPr="00DB0E54">
        <w:rPr>
          <w:rFonts w:eastAsia="Times New Roman" w:cs="Times New Roman"/>
          <w:i/>
          <w:iCs/>
          <w:kern w:val="0"/>
          <w:szCs w:val="24"/>
          <w:lang w:eastAsia="en-AU"/>
          <w14:ligatures w14:val="none"/>
        </w:rPr>
        <w:t>Opera Politica</w:t>
      </w:r>
      <w:r w:rsidRPr="00DB0E54">
        <w:rPr>
          <w:rFonts w:eastAsia="Times New Roman" w:cs="Times New Roman"/>
          <w:kern w:val="0"/>
          <w:szCs w:val="24"/>
          <w:lang w:eastAsia="en-AU"/>
          <w14:ligatures w14:val="none"/>
        </w:rPr>
        <w:t xml:space="preserve">, vols. 1-3 (Manchester: Manchester University Press, 1940, 1956, 1963, 1974), vol. 4 (Oxford: Oxford University Press for the British Academy, 1997). An edition of the </w:t>
      </w:r>
      <w:r w:rsidRPr="00DB0E54">
        <w:rPr>
          <w:rFonts w:eastAsia="Times New Roman" w:cs="Times New Roman"/>
          <w:i/>
          <w:iCs/>
          <w:kern w:val="0"/>
          <w:szCs w:val="24"/>
          <w:lang w:eastAsia="en-AU"/>
          <w14:ligatures w14:val="none"/>
        </w:rPr>
        <w:t xml:space="preserve">Dialogus </w:t>
      </w:r>
      <w:r w:rsidRPr="00DB0E54">
        <w:rPr>
          <w:rFonts w:eastAsia="Times New Roman" w:cs="Times New Roman"/>
          <w:kern w:val="0"/>
          <w:szCs w:val="24"/>
          <w:lang w:eastAsia="en-AU"/>
          <w14:ligatures w14:val="none"/>
        </w:rPr>
        <w:t>with Latin text and English translation in parallel columns is in progress on the Web at http://britac3.britac.ac.uk/ockdial.html.</w:t>
      </w:r>
    </w:p>
    <w:p w14:paraId="209BE81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r w:rsidRPr="00DB0E54">
        <w:rPr>
          <w:rFonts w:eastAsia="Times New Roman" w:cs="Times New Roman"/>
          <w:b/>
          <w:bCs/>
          <w:kern w:val="0"/>
          <w:szCs w:val="24"/>
          <w:lang w:eastAsia="en-AU"/>
          <w14:ligatures w14:val="none"/>
        </w:rPr>
        <w:t xml:space="preserve">Translations: </w:t>
      </w:r>
      <w:r w:rsidRPr="00DB0E54">
        <w:rPr>
          <w:rFonts w:eastAsia="Times New Roman" w:cs="Times New Roman"/>
          <w:kern w:val="0"/>
          <w:szCs w:val="24"/>
          <w:lang w:eastAsia="en-AU"/>
          <w14:ligatures w14:val="none"/>
        </w:rPr>
        <w:t xml:space="preserve">Ewart Lewis, </w:t>
      </w:r>
      <w:r w:rsidRPr="00DB0E54">
        <w:rPr>
          <w:rFonts w:eastAsia="Times New Roman" w:cs="Times New Roman"/>
          <w:i/>
          <w:iCs/>
          <w:kern w:val="0"/>
          <w:szCs w:val="24"/>
          <w:lang w:eastAsia="en-AU"/>
          <w14:ligatures w14:val="none"/>
        </w:rPr>
        <w:t xml:space="preserve">Medieval Political Ideas </w:t>
      </w:r>
      <w:r w:rsidRPr="00DB0E54">
        <w:rPr>
          <w:rFonts w:eastAsia="Times New Roman" w:cs="Times New Roman"/>
          <w:kern w:val="0"/>
          <w:szCs w:val="24"/>
          <w:lang w:eastAsia="en-AU"/>
          <w14:ligatures w14:val="none"/>
        </w:rPr>
        <w:t xml:space="preserve">(New York: Alfred A. Knopf, 1954); Arthur Stephen McGrade (ed.), </w:t>
      </w:r>
      <w:r w:rsidRPr="00DB0E54">
        <w:rPr>
          <w:rFonts w:eastAsia="Times New Roman" w:cs="Times New Roman"/>
          <w:i/>
          <w:iCs/>
          <w:kern w:val="0"/>
          <w:szCs w:val="24"/>
          <w:lang w:eastAsia="en-AU"/>
          <w14:ligatures w14:val="none"/>
        </w:rPr>
        <w:t xml:space="preserve">A Short Discourse on Tyrannical Government </w:t>
      </w:r>
      <w:r w:rsidRPr="00DB0E54">
        <w:rPr>
          <w:rFonts w:eastAsia="Times New Roman" w:cs="Times New Roman"/>
          <w:kern w:val="0"/>
          <w:szCs w:val="24"/>
          <w:lang w:eastAsia="en-AU"/>
          <w14:ligatures w14:val="none"/>
        </w:rPr>
        <w:t xml:space="preserve">(Cambridge: Cambridge University Press, 1992); Arthur Stephen McGrade and John Kilcullen (eds.), </w:t>
      </w:r>
      <w:r w:rsidRPr="00DB0E54">
        <w:rPr>
          <w:rFonts w:eastAsia="Times New Roman" w:cs="Times New Roman"/>
          <w:i/>
          <w:iCs/>
          <w:kern w:val="0"/>
          <w:szCs w:val="24"/>
          <w:lang w:eastAsia="en-AU"/>
          <w14:ligatures w14:val="none"/>
        </w:rPr>
        <w:t xml:space="preserve">A Letter to the Friars Minor and Other Writings </w:t>
      </w:r>
      <w:r w:rsidRPr="00DB0E54">
        <w:rPr>
          <w:rFonts w:eastAsia="Times New Roman" w:cs="Times New Roman"/>
          <w:kern w:val="0"/>
          <w:szCs w:val="24"/>
          <w:lang w:eastAsia="en-AU"/>
          <w14:ligatures w14:val="none"/>
        </w:rPr>
        <w:t xml:space="preserve">(Cambridge: Cambridge University Press, 1995); Wilhelm von Ockham, </w:t>
      </w:r>
      <w:r w:rsidRPr="00DB0E54">
        <w:rPr>
          <w:rFonts w:eastAsia="Times New Roman" w:cs="Times New Roman"/>
          <w:i/>
          <w:iCs/>
          <w:kern w:val="0"/>
          <w:szCs w:val="24"/>
          <w:lang w:eastAsia="en-AU"/>
          <w14:ligatures w14:val="none"/>
        </w:rPr>
        <w:t>Dialogus: Auszüge zur politischen Theorie,</w:t>
      </w:r>
      <w:r w:rsidRPr="00DB0E54">
        <w:rPr>
          <w:rFonts w:eastAsia="Times New Roman" w:cs="Times New Roman"/>
          <w:kern w:val="0"/>
          <w:szCs w:val="24"/>
          <w:lang w:eastAsia="en-AU"/>
          <w14:ligatures w14:val="none"/>
        </w:rPr>
        <w:t xml:space="preserve"> Ausgewählt, übersetz und mit einem Nachwort versehen von Jürgen Miethke</w:t>
      </w:r>
      <w:r w:rsidRPr="00DB0E54">
        <w:rPr>
          <w:rFonts w:eastAsia="Times New Roman" w:cs="Times New Roman"/>
          <w:i/>
          <w:iCs/>
          <w:kern w:val="0"/>
          <w:szCs w:val="24"/>
          <w:lang w:eastAsia="en-AU"/>
          <w14:ligatures w14:val="none"/>
        </w:rPr>
        <w:t xml:space="preserve"> </w:t>
      </w:r>
      <w:r w:rsidRPr="00DB0E54">
        <w:rPr>
          <w:rFonts w:eastAsia="Times New Roman" w:cs="Times New Roman"/>
          <w:kern w:val="0"/>
          <w:szCs w:val="24"/>
          <w:lang w:eastAsia="en-AU"/>
          <w14:ligatures w14:val="none"/>
        </w:rPr>
        <w:t>(Darmstadt: Wissenschaftliche Buchgesellschaft, 1992); Wilhelm von Ockham</w:t>
      </w:r>
      <w:r w:rsidRPr="00DB0E54">
        <w:rPr>
          <w:rFonts w:eastAsia="Times New Roman" w:cs="Times New Roman"/>
          <w:i/>
          <w:iCs/>
          <w:kern w:val="0"/>
          <w:szCs w:val="24"/>
          <w:lang w:eastAsia="en-AU"/>
          <w14:ligatures w14:val="none"/>
        </w:rPr>
        <w:t xml:space="preserve">, Texte zur politischen Theorie: Exzerpte aus dem Dialogus, </w:t>
      </w:r>
      <w:r w:rsidRPr="00DB0E54">
        <w:rPr>
          <w:rFonts w:eastAsia="Times New Roman" w:cs="Times New Roman"/>
          <w:kern w:val="0"/>
          <w:szCs w:val="24"/>
          <w:lang w:eastAsia="en-AU"/>
          <w14:ligatures w14:val="none"/>
        </w:rPr>
        <w:t xml:space="preserve">Lateinisch/Deutsch, Ausgewählt, übersetzt und herausgegeben von Jürgen Miethke (Stuttgart: Reclam, 1995); Pedro Rodríguez Santidrian, </w:t>
      </w:r>
      <w:r w:rsidRPr="00DB0E54">
        <w:rPr>
          <w:rFonts w:eastAsia="Times New Roman" w:cs="Times New Roman"/>
          <w:i/>
          <w:iCs/>
          <w:kern w:val="0"/>
          <w:szCs w:val="24"/>
          <w:lang w:eastAsia="en-AU"/>
          <w14:ligatures w14:val="none"/>
        </w:rPr>
        <w:t xml:space="preserve">Guillermo de Ockham. Sobre el gobierno tiránico del papa </w:t>
      </w:r>
      <w:r w:rsidRPr="00DB0E54">
        <w:rPr>
          <w:rFonts w:eastAsia="Times New Roman" w:cs="Times New Roman"/>
          <w:kern w:val="0"/>
          <w:szCs w:val="24"/>
          <w:lang w:eastAsia="en-AU"/>
          <w14:ligatures w14:val="none"/>
        </w:rPr>
        <w:t xml:space="preserve">(Madrid: Tecnos, 1992). For an English translation of the </w:t>
      </w:r>
      <w:r w:rsidRPr="00DB0E54">
        <w:rPr>
          <w:rFonts w:eastAsia="Times New Roman" w:cs="Times New Roman"/>
          <w:i/>
          <w:iCs/>
          <w:kern w:val="0"/>
          <w:szCs w:val="24"/>
          <w:lang w:eastAsia="en-AU"/>
          <w14:ligatures w14:val="none"/>
        </w:rPr>
        <w:t xml:space="preserve">Dialogus </w:t>
      </w:r>
      <w:r w:rsidRPr="00DB0E54">
        <w:rPr>
          <w:rFonts w:eastAsia="Times New Roman" w:cs="Times New Roman"/>
          <w:kern w:val="0"/>
          <w:szCs w:val="24"/>
          <w:lang w:eastAsia="en-AU"/>
          <w14:ligatures w14:val="none"/>
        </w:rPr>
        <w:t xml:space="preserve">see above. A translation of the </w:t>
      </w:r>
      <w:r w:rsidRPr="00DB0E54">
        <w:rPr>
          <w:rFonts w:eastAsia="Times New Roman" w:cs="Times New Roman"/>
          <w:i/>
          <w:iCs/>
          <w:kern w:val="0"/>
          <w:szCs w:val="24"/>
          <w:lang w:eastAsia="en-AU"/>
          <w14:ligatures w14:val="none"/>
        </w:rPr>
        <w:t>Opus nonaginta dierum</w:t>
      </w:r>
      <w:r w:rsidRPr="00DB0E54">
        <w:rPr>
          <w:rFonts w:eastAsia="Times New Roman" w:cs="Times New Roman"/>
          <w:kern w:val="0"/>
          <w:szCs w:val="24"/>
          <w:lang w:eastAsia="en-AU"/>
          <w14:ligatures w14:val="none"/>
        </w:rPr>
        <w:t xml:space="preserve"> is being published in an electronic edition by InteLex Corporation; see http://www.nlx.com/. A new translation of </w:t>
      </w:r>
      <w:r w:rsidRPr="00DB0E54">
        <w:rPr>
          <w:rFonts w:eastAsia="Times New Roman" w:cs="Times New Roman"/>
          <w:i/>
          <w:iCs/>
          <w:kern w:val="0"/>
          <w:szCs w:val="24"/>
          <w:lang w:eastAsia="en-AU"/>
          <w14:ligatures w14:val="none"/>
        </w:rPr>
        <w:t xml:space="preserve">De imperatorum et pontificum potestate </w:t>
      </w:r>
      <w:r w:rsidRPr="00DB0E54">
        <w:rPr>
          <w:rFonts w:eastAsia="Times New Roman" w:cs="Times New Roman"/>
          <w:kern w:val="0"/>
          <w:szCs w:val="24"/>
          <w:lang w:eastAsia="en-AU"/>
          <w14:ligatures w14:val="none"/>
        </w:rPr>
        <w:t>is being made by Annabel Brett.</w:t>
      </w:r>
    </w:p>
    <w:p w14:paraId="1823100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r w:rsidRPr="00DB0E54">
        <w:rPr>
          <w:rFonts w:eastAsia="Times New Roman" w:cs="Times New Roman"/>
          <w:b/>
          <w:bCs/>
          <w:kern w:val="0"/>
          <w:szCs w:val="24"/>
          <w:lang w:eastAsia="en-AU"/>
          <w14:ligatures w14:val="none"/>
        </w:rPr>
        <w:t xml:space="preserve">Abbreviated references: </w:t>
      </w:r>
      <w:r w:rsidRPr="00DB0E54">
        <w:rPr>
          <w:rFonts w:eastAsia="Times New Roman" w:cs="Times New Roman"/>
          <w:i/>
          <w:iCs/>
          <w:kern w:val="0"/>
          <w:szCs w:val="24"/>
          <w:lang w:eastAsia="en-AU"/>
          <w14:ligatures w14:val="none"/>
        </w:rPr>
        <w:t xml:space="preserve">CB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 xml:space="preserve">Contra Benedictum </w:t>
      </w:r>
      <w:r w:rsidRPr="00DB0E54">
        <w:rPr>
          <w:rFonts w:eastAsia="Times New Roman" w:cs="Times New Roman"/>
          <w:kern w:val="0"/>
          <w:szCs w:val="24"/>
          <w:lang w:eastAsia="en-AU"/>
          <w14:ligatures w14:val="none"/>
        </w:rPr>
        <w:t>(</w:t>
      </w:r>
      <w:r w:rsidRPr="00DB0E54">
        <w:rPr>
          <w:rFonts w:eastAsia="Times New Roman" w:cs="Times New Roman"/>
          <w:i/>
          <w:iCs/>
          <w:kern w:val="0"/>
          <w:szCs w:val="24"/>
          <w:lang w:eastAsia="en-AU"/>
          <w14:ligatures w14:val="none"/>
        </w:rPr>
        <w:t xml:space="preserve">OP, </w:t>
      </w:r>
      <w:r w:rsidRPr="00DB0E54">
        <w:rPr>
          <w:rFonts w:eastAsia="Times New Roman" w:cs="Times New Roman"/>
          <w:kern w:val="0"/>
          <w:szCs w:val="24"/>
          <w:lang w:eastAsia="en-AU"/>
          <w14:ligatures w14:val="none"/>
        </w:rPr>
        <w:t xml:space="preserve">vol. 3); </w:t>
      </w:r>
      <w:r w:rsidRPr="00DB0E54">
        <w:rPr>
          <w:rFonts w:eastAsia="Times New Roman" w:cs="Times New Roman"/>
          <w:i/>
          <w:iCs/>
          <w:kern w:val="0"/>
          <w:szCs w:val="24"/>
          <w:lang w:eastAsia="en-AU"/>
          <w14:ligatures w14:val="none"/>
        </w:rPr>
        <w:t xml:space="preserve">I Dial.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Dialogus</w:t>
      </w:r>
      <w:r w:rsidRPr="00DB0E54">
        <w:rPr>
          <w:rFonts w:eastAsia="Times New Roman" w:cs="Times New Roman"/>
          <w:kern w:val="0"/>
          <w:szCs w:val="24"/>
          <w:lang w:eastAsia="en-AU"/>
          <w14:ligatures w14:val="none"/>
        </w:rPr>
        <w:t xml:space="preserve">, Part 1; </w:t>
      </w:r>
      <w:r w:rsidRPr="00DB0E54">
        <w:rPr>
          <w:rFonts w:eastAsia="Times New Roman" w:cs="Times New Roman"/>
          <w:i/>
          <w:iCs/>
          <w:kern w:val="0"/>
          <w:szCs w:val="24"/>
          <w:lang w:eastAsia="en-AU"/>
          <w14:ligatures w14:val="none"/>
        </w:rPr>
        <w:t xml:space="preserve">III-1 Dial.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Dialogus</w:t>
      </w:r>
      <w:r w:rsidRPr="00DB0E54">
        <w:rPr>
          <w:rFonts w:eastAsia="Times New Roman" w:cs="Times New Roman"/>
          <w:kern w:val="0"/>
          <w:szCs w:val="24"/>
          <w:lang w:eastAsia="en-AU"/>
          <w14:ligatures w14:val="none"/>
        </w:rPr>
        <w:t xml:space="preserve">, Part 3, Tract 1; </w:t>
      </w:r>
      <w:r w:rsidRPr="00DB0E54">
        <w:rPr>
          <w:rFonts w:eastAsia="Times New Roman" w:cs="Times New Roman"/>
          <w:i/>
          <w:iCs/>
          <w:kern w:val="0"/>
          <w:szCs w:val="24"/>
          <w:lang w:eastAsia="en-AU"/>
          <w14:ligatures w14:val="none"/>
        </w:rPr>
        <w:t xml:space="preserve">III-2 Dial.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Dialogus</w:t>
      </w:r>
      <w:r w:rsidRPr="00DB0E54">
        <w:rPr>
          <w:rFonts w:eastAsia="Times New Roman" w:cs="Times New Roman"/>
          <w:kern w:val="0"/>
          <w:szCs w:val="24"/>
          <w:lang w:eastAsia="en-AU"/>
          <w14:ligatures w14:val="none"/>
        </w:rPr>
        <w:t xml:space="preserve">, Part 3, Tract 2; </w:t>
      </w:r>
      <w:r w:rsidRPr="00DB0E54">
        <w:rPr>
          <w:rFonts w:eastAsia="Times New Roman" w:cs="Times New Roman"/>
          <w:i/>
          <w:iCs/>
          <w:kern w:val="0"/>
          <w:szCs w:val="24"/>
          <w:lang w:eastAsia="en-AU"/>
          <w14:ligatures w14:val="none"/>
        </w:rPr>
        <w:t xml:space="preserve">OP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Opera politica</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 xml:space="preserve">OND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 xml:space="preserve">Opus nonaginta dierum </w:t>
      </w:r>
      <w:r w:rsidRPr="00DB0E54">
        <w:rPr>
          <w:rFonts w:eastAsia="Times New Roman" w:cs="Times New Roman"/>
          <w:kern w:val="0"/>
          <w:szCs w:val="24"/>
          <w:lang w:eastAsia="en-AU"/>
          <w14:ligatures w14:val="none"/>
        </w:rPr>
        <w:t>(</w:t>
      </w:r>
      <w:r w:rsidRPr="00DB0E54">
        <w:rPr>
          <w:rFonts w:eastAsia="Times New Roman" w:cs="Times New Roman"/>
          <w:i/>
          <w:iCs/>
          <w:kern w:val="0"/>
          <w:szCs w:val="24"/>
          <w:lang w:eastAsia="en-AU"/>
          <w14:ligatures w14:val="none"/>
        </w:rPr>
        <w:t>OP</w:t>
      </w:r>
      <w:r w:rsidRPr="00DB0E54">
        <w:rPr>
          <w:rFonts w:eastAsia="Times New Roman" w:cs="Times New Roman"/>
          <w:kern w:val="0"/>
          <w:szCs w:val="24"/>
          <w:lang w:eastAsia="en-AU"/>
          <w14:ligatures w14:val="none"/>
        </w:rPr>
        <w:t xml:space="preserve">, vols. 1 and 2); </w:t>
      </w:r>
      <w:r w:rsidRPr="00DB0E54">
        <w:rPr>
          <w:rFonts w:eastAsia="Times New Roman" w:cs="Times New Roman"/>
          <w:i/>
          <w:iCs/>
          <w:kern w:val="0"/>
          <w:szCs w:val="24"/>
          <w:lang w:eastAsia="en-AU"/>
          <w14:ligatures w14:val="none"/>
        </w:rPr>
        <w:t xml:space="preserve">OQ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 xml:space="preserve">Octo questiones </w:t>
      </w:r>
      <w:r w:rsidRPr="00DB0E54">
        <w:rPr>
          <w:rFonts w:eastAsia="Times New Roman" w:cs="Times New Roman"/>
          <w:kern w:val="0"/>
          <w:szCs w:val="24"/>
          <w:lang w:eastAsia="en-AU"/>
          <w14:ligatures w14:val="none"/>
        </w:rPr>
        <w:t>(</w:t>
      </w:r>
      <w:r w:rsidRPr="00DB0E54">
        <w:rPr>
          <w:rFonts w:eastAsia="Times New Roman" w:cs="Times New Roman"/>
          <w:i/>
          <w:iCs/>
          <w:kern w:val="0"/>
          <w:szCs w:val="24"/>
          <w:lang w:eastAsia="en-AU"/>
          <w14:ligatures w14:val="none"/>
        </w:rPr>
        <w:t>OP</w:t>
      </w:r>
      <w:r w:rsidRPr="00DB0E54">
        <w:rPr>
          <w:rFonts w:eastAsia="Times New Roman" w:cs="Times New Roman"/>
          <w:kern w:val="0"/>
          <w:szCs w:val="24"/>
          <w:lang w:eastAsia="en-AU"/>
          <w14:ligatures w14:val="none"/>
        </w:rPr>
        <w:t xml:space="preserve">, vol. 1); </w:t>
      </w:r>
      <w:r w:rsidRPr="00DB0E54">
        <w:rPr>
          <w:rFonts w:eastAsia="Times New Roman" w:cs="Times New Roman"/>
          <w:i/>
          <w:iCs/>
          <w:kern w:val="0"/>
          <w:szCs w:val="24"/>
          <w:lang w:eastAsia="en-AU"/>
          <w14:ligatures w14:val="none"/>
        </w:rPr>
        <w:t xml:space="preserve">SD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Short Discourse on Tyrannical Government</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 xml:space="preserve">Writings </w:t>
      </w:r>
      <w:r w:rsidRPr="00DB0E54">
        <w:rPr>
          <w:rFonts w:eastAsia="Times New Roman" w:cs="Times New Roman"/>
          <w:kern w:val="0"/>
          <w:szCs w:val="24"/>
          <w:lang w:eastAsia="en-AU"/>
          <w14:ligatures w14:val="none"/>
        </w:rPr>
        <w:t xml:space="preserve">for </w:t>
      </w:r>
      <w:r w:rsidRPr="00DB0E54">
        <w:rPr>
          <w:rFonts w:eastAsia="Times New Roman" w:cs="Times New Roman"/>
          <w:i/>
          <w:iCs/>
          <w:kern w:val="0"/>
          <w:szCs w:val="24"/>
          <w:lang w:eastAsia="en-AU"/>
          <w14:ligatures w14:val="none"/>
        </w:rPr>
        <w:t xml:space="preserve">A Letter to the Friars Minor and other Writings. </w:t>
      </w:r>
      <w:r w:rsidRPr="00DB0E54">
        <w:rPr>
          <w:rFonts w:eastAsia="Times New Roman" w:cs="Times New Roman"/>
          <w:kern w:val="0"/>
          <w:szCs w:val="24"/>
          <w:lang w:eastAsia="en-AU"/>
          <w14:ligatures w14:val="none"/>
        </w:rPr>
        <w:t>"Book" or "Question" is indicated by small Roman numerals, "Chapter" by arabic numerals.</w:t>
      </w:r>
    </w:p>
    <w:p w14:paraId="142A77F8"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r w:rsidRPr="00DB0E54">
        <w:rPr>
          <w:rFonts w:eastAsia="Times New Roman" w:cs="Times New Roman"/>
          <w:b/>
          <w:bCs/>
          <w:kern w:val="0"/>
          <w:szCs w:val="24"/>
          <w:lang w:eastAsia="en-AU"/>
          <w14:ligatures w14:val="none"/>
        </w:rPr>
        <w:t xml:space="preserve">Studies: </w:t>
      </w:r>
      <w:r w:rsidRPr="00DB0E54">
        <w:rPr>
          <w:rFonts w:eastAsia="Times New Roman" w:cs="Times New Roman"/>
          <w:kern w:val="0"/>
          <w:szCs w:val="24"/>
          <w:lang w:eastAsia="en-AU"/>
          <w14:ligatures w14:val="none"/>
        </w:rPr>
        <w:t xml:space="preserve">L. Baudry, </w:t>
      </w:r>
      <w:r w:rsidRPr="00DB0E54">
        <w:rPr>
          <w:rFonts w:eastAsia="Times New Roman" w:cs="Times New Roman"/>
          <w:i/>
          <w:iCs/>
          <w:kern w:val="0"/>
          <w:szCs w:val="24"/>
          <w:lang w:eastAsia="en-AU"/>
          <w14:ligatures w14:val="none"/>
        </w:rPr>
        <w:t xml:space="preserve">Guillaume d'Occam: sa vie, ses oeuvres, ses idées sociales et politiques </w:t>
      </w:r>
      <w:r w:rsidRPr="00DB0E54">
        <w:rPr>
          <w:rFonts w:eastAsia="Times New Roman" w:cs="Times New Roman"/>
          <w:kern w:val="0"/>
          <w:szCs w:val="24"/>
          <w:lang w:eastAsia="en-AU"/>
          <w14:ligatures w14:val="none"/>
        </w:rPr>
        <w:t xml:space="preserve">(Paris, 1949); Jürgen Miethke, </w:t>
      </w:r>
      <w:r w:rsidRPr="00DB0E54">
        <w:rPr>
          <w:rFonts w:eastAsia="Times New Roman" w:cs="Times New Roman"/>
          <w:i/>
          <w:iCs/>
          <w:kern w:val="0"/>
          <w:szCs w:val="24"/>
          <w:lang w:eastAsia="en-AU"/>
          <w14:ligatures w14:val="none"/>
        </w:rPr>
        <w:t xml:space="preserve">Ockhams Weg zur </w:t>
      </w:r>
      <w:r w:rsidRPr="00DB0E54">
        <w:rPr>
          <w:rFonts w:eastAsia="Times New Roman" w:cs="Times New Roman"/>
          <w:i/>
          <w:iCs/>
          <w:kern w:val="0"/>
          <w:szCs w:val="24"/>
          <w:lang w:eastAsia="en-AU"/>
          <w14:ligatures w14:val="none"/>
        </w:rPr>
        <w:lastRenderedPageBreak/>
        <w:t xml:space="preserve">Sozialphilosophie </w:t>
      </w:r>
      <w:r w:rsidRPr="00DB0E54">
        <w:rPr>
          <w:rFonts w:eastAsia="Times New Roman" w:cs="Times New Roman"/>
          <w:kern w:val="0"/>
          <w:szCs w:val="24"/>
          <w:lang w:eastAsia="en-AU"/>
          <w14:ligatures w14:val="none"/>
        </w:rPr>
        <w:t xml:space="preserve">(Berlin: Walter De Gruyter, 1969); Arthur Stephen McGrade, </w:t>
      </w:r>
      <w:r w:rsidRPr="00DB0E54">
        <w:rPr>
          <w:rFonts w:eastAsia="Times New Roman" w:cs="Times New Roman"/>
          <w:i/>
          <w:iCs/>
          <w:kern w:val="0"/>
          <w:szCs w:val="24"/>
          <w:lang w:eastAsia="en-AU"/>
          <w14:ligatures w14:val="none"/>
        </w:rPr>
        <w:t xml:space="preserve">The Political Thought of William of Ockham: Personal and Institutional Principles </w:t>
      </w:r>
      <w:r w:rsidRPr="00DB0E54">
        <w:rPr>
          <w:rFonts w:eastAsia="Times New Roman" w:cs="Times New Roman"/>
          <w:kern w:val="0"/>
          <w:szCs w:val="24"/>
          <w:lang w:eastAsia="en-AU"/>
          <w14:ligatures w14:val="none"/>
        </w:rPr>
        <w:t xml:space="preserve">(Cambridge: Cambridge University Press, 1974); George Knysh, </w:t>
      </w:r>
      <w:r w:rsidRPr="00DB0E54">
        <w:rPr>
          <w:rFonts w:eastAsia="Times New Roman" w:cs="Times New Roman"/>
          <w:i/>
          <w:iCs/>
          <w:kern w:val="0"/>
          <w:szCs w:val="24"/>
          <w:lang w:eastAsia="en-AU"/>
          <w14:ligatures w14:val="none"/>
        </w:rPr>
        <w:t xml:space="preserve">Political Ockhamism </w:t>
      </w:r>
      <w:r w:rsidRPr="00DB0E54">
        <w:rPr>
          <w:rFonts w:eastAsia="Times New Roman" w:cs="Times New Roman"/>
          <w:kern w:val="0"/>
          <w:szCs w:val="24"/>
          <w:lang w:eastAsia="en-AU"/>
          <w14:ligatures w14:val="none"/>
        </w:rPr>
        <w:t xml:space="preserve">(Winnipeg: WCU Council of Learned Societies, 1996). See also the reading suggestions in </w:t>
      </w:r>
      <w:r w:rsidRPr="00DB0E54">
        <w:rPr>
          <w:rFonts w:eastAsia="Times New Roman" w:cs="Times New Roman"/>
          <w:i/>
          <w:iCs/>
          <w:kern w:val="0"/>
          <w:szCs w:val="24"/>
          <w:lang w:eastAsia="en-AU"/>
          <w14:ligatures w14:val="none"/>
        </w:rPr>
        <w:t xml:space="preserve">SD </w:t>
      </w:r>
      <w:r w:rsidRPr="00DB0E54">
        <w:rPr>
          <w:rFonts w:eastAsia="Times New Roman" w:cs="Times New Roman"/>
          <w:kern w:val="0"/>
          <w:szCs w:val="24"/>
          <w:lang w:eastAsia="en-AU"/>
          <w14:ligatures w14:val="none"/>
        </w:rPr>
        <w:t xml:space="preserve">and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w:t>
      </w:r>
    </w:p>
    <w:p w14:paraId="3C492B01"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0" w:name="note2"/>
      <w:bookmarkEnd w:id="0"/>
      <w:r w:rsidRPr="00DB0E54">
        <w:rPr>
          <w:rFonts w:eastAsia="Times New Roman" w:cs="Times New Roman"/>
          <w:b/>
          <w:bCs/>
          <w:kern w:val="0"/>
          <w:szCs w:val="24"/>
          <w:lang w:eastAsia="en-AU"/>
          <w14:ligatures w14:val="none"/>
        </w:rPr>
        <w:t>Note 2</w:t>
      </w:r>
      <w:r w:rsidRPr="00DB0E54">
        <w:rPr>
          <w:rFonts w:eastAsia="Times New Roman" w:cs="Times New Roman"/>
          <w:kern w:val="0"/>
          <w:szCs w:val="24"/>
          <w:lang w:eastAsia="en-AU"/>
          <w14:ligatures w14:val="none"/>
        </w:rPr>
        <w:t xml:space="preserve"> Quotations are from </w:t>
      </w:r>
      <w:r w:rsidRPr="00DB0E54">
        <w:rPr>
          <w:rFonts w:eastAsia="Times New Roman" w:cs="Times New Roman"/>
          <w:i/>
          <w:iCs/>
          <w:kern w:val="0"/>
          <w:szCs w:val="24"/>
          <w:lang w:eastAsia="en-AU"/>
          <w14:ligatures w14:val="none"/>
        </w:rPr>
        <w:t>The Holy Bible</w:t>
      </w:r>
      <w:r w:rsidRPr="00DB0E54">
        <w:rPr>
          <w:rFonts w:eastAsia="Times New Roman" w:cs="Times New Roman"/>
          <w:kern w:val="0"/>
          <w:szCs w:val="24"/>
          <w:lang w:eastAsia="en-AU"/>
          <w14:ligatures w14:val="none"/>
        </w:rPr>
        <w:t>, Revised Standard Version (London: Thomas Nelson, 1965).</w:t>
      </w:r>
    </w:p>
    <w:p w14:paraId="5E038AE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 w:name="note3"/>
      <w:bookmarkEnd w:id="1"/>
      <w:r w:rsidRPr="00DB0E54">
        <w:rPr>
          <w:rFonts w:eastAsia="Times New Roman" w:cs="Times New Roman"/>
          <w:b/>
          <w:bCs/>
          <w:kern w:val="0"/>
          <w:szCs w:val="24"/>
          <w:lang w:eastAsia="en-AU"/>
          <w14:ligatures w14:val="none"/>
        </w:rPr>
        <w:t>Note 3</w:t>
      </w:r>
      <w:r w:rsidRPr="00DB0E54">
        <w:rPr>
          <w:rFonts w:eastAsia="Times New Roman" w:cs="Times New Roman"/>
          <w:kern w:val="0"/>
          <w:szCs w:val="24"/>
          <w:lang w:eastAsia="en-AU"/>
          <w14:ligatures w14:val="none"/>
        </w:rPr>
        <w:t xml:space="preserve"> He did not call his fellowship after himself, of course. The official name was "The Order of Friars Minor", i.e. "of lesser brothers".</w:t>
      </w:r>
    </w:p>
    <w:p w14:paraId="48F4629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 w:name="note4"/>
      <w:bookmarkEnd w:id="2"/>
      <w:r w:rsidRPr="00DB0E54">
        <w:rPr>
          <w:rFonts w:eastAsia="Times New Roman" w:cs="Times New Roman"/>
          <w:b/>
          <w:bCs/>
          <w:kern w:val="0"/>
          <w:szCs w:val="24"/>
          <w:lang w:eastAsia="en-AU"/>
          <w14:ligatures w14:val="none"/>
        </w:rPr>
        <w:t>Note 4</w:t>
      </w:r>
      <w:r w:rsidRPr="00DB0E54">
        <w:rPr>
          <w:rFonts w:eastAsia="Times New Roman" w:cs="Times New Roman"/>
          <w:kern w:val="0"/>
          <w:szCs w:val="24"/>
          <w:lang w:eastAsia="en-AU"/>
          <w14:ligatures w14:val="none"/>
        </w:rPr>
        <w:t xml:space="preserve"> See Bonaventure, </w:t>
      </w:r>
      <w:r w:rsidRPr="00DB0E54">
        <w:rPr>
          <w:rFonts w:eastAsia="Times New Roman" w:cs="Times New Roman"/>
          <w:i/>
          <w:iCs/>
          <w:kern w:val="0"/>
          <w:szCs w:val="24"/>
          <w:lang w:eastAsia="en-AU"/>
          <w14:ligatures w14:val="none"/>
        </w:rPr>
        <w:t>Life of St Francis</w:t>
      </w:r>
      <w:r w:rsidRPr="00DB0E54">
        <w:rPr>
          <w:rFonts w:eastAsia="Times New Roman" w:cs="Times New Roman"/>
          <w:kern w:val="0"/>
          <w:szCs w:val="24"/>
          <w:lang w:eastAsia="en-AU"/>
          <w14:ligatures w14:val="none"/>
        </w:rPr>
        <w:t xml:space="preserve">, in Marion Habig (ed.), </w:t>
      </w:r>
      <w:r w:rsidRPr="00DB0E54">
        <w:rPr>
          <w:rFonts w:eastAsia="Times New Roman" w:cs="Times New Roman"/>
          <w:i/>
          <w:iCs/>
          <w:kern w:val="0"/>
          <w:szCs w:val="24"/>
          <w:lang w:eastAsia="en-AU"/>
          <w14:ligatures w14:val="none"/>
        </w:rPr>
        <w:t>St Francis of Assisi: Writings and Early Biographies</w:t>
      </w:r>
      <w:r w:rsidRPr="00DB0E54">
        <w:rPr>
          <w:rFonts w:eastAsia="Times New Roman" w:cs="Times New Roman"/>
          <w:kern w:val="0"/>
          <w:szCs w:val="24"/>
          <w:lang w:eastAsia="en-AU"/>
          <w14:ligatures w14:val="none"/>
        </w:rPr>
        <w:t xml:space="preserve"> (Chicago: Franciscan Herald Press, 1983), p. 646.</w:t>
      </w:r>
    </w:p>
    <w:p w14:paraId="6277D85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 w:name="note5"/>
      <w:bookmarkEnd w:id="3"/>
      <w:r w:rsidRPr="00DB0E54">
        <w:rPr>
          <w:rFonts w:eastAsia="Times New Roman" w:cs="Times New Roman"/>
          <w:b/>
          <w:bCs/>
          <w:kern w:val="0"/>
          <w:szCs w:val="24"/>
          <w:lang w:eastAsia="en-AU"/>
          <w14:ligatures w14:val="none"/>
        </w:rPr>
        <w:t>Note 5</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The Testament of St Francis</w:t>
      </w:r>
      <w:r w:rsidRPr="00DB0E54">
        <w:rPr>
          <w:rFonts w:eastAsia="Times New Roman" w:cs="Times New Roman"/>
          <w:kern w:val="0"/>
          <w:szCs w:val="24"/>
          <w:lang w:eastAsia="en-AU"/>
          <w14:ligatures w14:val="none"/>
        </w:rPr>
        <w:t>, Habig, p. 68.</w:t>
      </w:r>
    </w:p>
    <w:p w14:paraId="2AB310A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 w:name="note6"/>
      <w:bookmarkEnd w:id="4"/>
      <w:r w:rsidRPr="00DB0E54">
        <w:rPr>
          <w:rFonts w:eastAsia="Times New Roman" w:cs="Times New Roman"/>
          <w:b/>
          <w:bCs/>
          <w:kern w:val="0"/>
          <w:szCs w:val="24"/>
          <w:lang w:eastAsia="en-AU"/>
          <w14:ligatures w14:val="none"/>
        </w:rPr>
        <w:t>Note 6</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Rule of 1221</w:t>
      </w:r>
      <w:r w:rsidRPr="00DB0E54">
        <w:rPr>
          <w:rFonts w:eastAsia="Times New Roman" w:cs="Times New Roman"/>
          <w:kern w:val="0"/>
          <w:szCs w:val="24"/>
          <w:lang w:eastAsia="en-AU"/>
          <w14:ligatures w14:val="none"/>
        </w:rPr>
        <w:t>, Habig, p. 39.</w:t>
      </w:r>
    </w:p>
    <w:p w14:paraId="32933727"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 w:name="note7"/>
      <w:bookmarkEnd w:id="5"/>
      <w:r w:rsidRPr="00DB0E54">
        <w:rPr>
          <w:rFonts w:eastAsia="Times New Roman" w:cs="Times New Roman"/>
          <w:b/>
          <w:bCs/>
          <w:kern w:val="0"/>
          <w:szCs w:val="24"/>
          <w:lang w:eastAsia="en-AU"/>
          <w14:ligatures w14:val="none"/>
        </w:rPr>
        <w:t>Note 7</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Rule of 1223</w:t>
      </w:r>
      <w:r w:rsidRPr="00DB0E54">
        <w:rPr>
          <w:rFonts w:eastAsia="Times New Roman" w:cs="Times New Roman"/>
          <w:kern w:val="0"/>
          <w:szCs w:val="24"/>
          <w:lang w:eastAsia="en-AU"/>
          <w14:ligatures w14:val="none"/>
        </w:rPr>
        <w:t>, Habig, p. 61.</w:t>
      </w:r>
    </w:p>
    <w:p w14:paraId="54B7B480"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 w:name="note8"/>
      <w:bookmarkEnd w:id="6"/>
      <w:r w:rsidRPr="00DB0E54">
        <w:rPr>
          <w:rFonts w:eastAsia="Times New Roman" w:cs="Times New Roman"/>
          <w:b/>
          <w:bCs/>
          <w:kern w:val="0"/>
          <w:szCs w:val="24"/>
          <w:lang w:eastAsia="en-AU"/>
          <w14:ligatures w14:val="none"/>
        </w:rPr>
        <w:t>Note 8</w:t>
      </w:r>
      <w:r w:rsidRPr="00DB0E54">
        <w:rPr>
          <w:rFonts w:eastAsia="Times New Roman" w:cs="Times New Roman"/>
          <w:kern w:val="0"/>
          <w:szCs w:val="24"/>
          <w:lang w:eastAsia="en-AU"/>
          <w14:ligatures w14:val="none"/>
        </w:rPr>
        <w:t xml:space="preserve"> Celano, </w:t>
      </w:r>
      <w:r w:rsidRPr="00DB0E54">
        <w:rPr>
          <w:rFonts w:eastAsia="Times New Roman" w:cs="Times New Roman"/>
          <w:i/>
          <w:iCs/>
          <w:kern w:val="0"/>
          <w:szCs w:val="24"/>
          <w:lang w:eastAsia="en-AU"/>
          <w14:ligatures w14:val="none"/>
        </w:rPr>
        <w:t>First Life</w:t>
      </w:r>
      <w:r w:rsidRPr="00DB0E54">
        <w:rPr>
          <w:rFonts w:eastAsia="Times New Roman" w:cs="Times New Roman"/>
          <w:kern w:val="0"/>
          <w:szCs w:val="24"/>
          <w:lang w:eastAsia="en-AU"/>
          <w14:ligatures w14:val="none"/>
        </w:rPr>
        <w:t>, Habig, p. 265.</w:t>
      </w:r>
    </w:p>
    <w:p w14:paraId="26946A78"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 w:name="note9"/>
      <w:bookmarkEnd w:id="7"/>
      <w:r w:rsidRPr="00DB0E54">
        <w:rPr>
          <w:rFonts w:eastAsia="Times New Roman" w:cs="Times New Roman"/>
          <w:b/>
          <w:bCs/>
          <w:kern w:val="0"/>
          <w:szCs w:val="24"/>
          <w:lang w:eastAsia="en-AU"/>
          <w14:ligatures w14:val="none"/>
        </w:rPr>
        <w:t>Note 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Rule of 1221</w:t>
      </w:r>
      <w:r w:rsidRPr="00DB0E54">
        <w:rPr>
          <w:rFonts w:eastAsia="Times New Roman" w:cs="Times New Roman"/>
          <w:kern w:val="0"/>
          <w:szCs w:val="24"/>
          <w:lang w:eastAsia="en-AU"/>
          <w14:ligatures w14:val="none"/>
        </w:rPr>
        <w:t>, Habig, p. 38.</w:t>
      </w:r>
    </w:p>
    <w:p w14:paraId="26C53A83"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8" w:name="note10"/>
      <w:bookmarkEnd w:id="8"/>
      <w:r w:rsidRPr="00DB0E54">
        <w:rPr>
          <w:rFonts w:eastAsia="Times New Roman" w:cs="Times New Roman"/>
          <w:b/>
          <w:bCs/>
          <w:kern w:val="0"/>
          <w:szCs w:val="24"/>
          <w:lang w:eastAsia="en-AU"/>
          <w14:ligatures w14:val="none"/>
        </w:rPr>
        <w:t>Note 10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Ibid</w:t>
      </w:r>
      <w:r w:rsidRPr="00DB0E54">
        <w:rPr>
          <w:rFonts w:eastAsia="Times New Roman" w:cs="Times New Roman"/>
          <w:kern w:val="0"/>
          <w:szCs w:val="24"/>
          <w:lang w:eastAsia="en-AU"/>
          <w14:ligatures w14:val="none"/>
        </w:rPr>
        <w:t>., p. 42.</w:t>
      </w:r>
    </w:p>
    <w:p w14:paraId="776280E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9" w:name="note11"/>
      <w:bookmarkEnd w:id="9"/>
      <w:r w:rsidRPr="00DB0E54">
        <w:rPr>
          <w:rFonts w:eastAsia="Times New Roman" w:cs="Times New Roman"/>
          <w:b/>
          <w:bCs/>
          <w:kern w:val="0"/>
          <w:szCs w:val="24"/>
          <w:lang w:eastAsia="en-AU"/>
          <w14:ligatures w14:val="none"/>
        </w:rPr>
        <w:t>Note 11</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Ibid</w:t>
      </w:r>
      <w:r w:rsidRPr="00DB0E54">
        <w:rPr>
          <w:rFonts w:eastAsia="Times New Roman" w:cs="Times New Roman"/>
          <w:kern w:val="0"/>
          <w:szCs w:val="24"/>
          <w:lang w:eastAsia="en-AU"/>
          <w14:ligatures w14:val="none"/>
        </w:rPr>
        <w:t>., p. 38.</w:t>
      </w:r>
    </w:p>
    <w:p w14:paraId="18F87C3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0" w:name="note12"/>
      <w:bookmarkEnd w:id="10"/>
      <w:r w:rsidRPr="00DB0E54">
        <w:rPr>
          <w:rFonts w:eastAsia="Times New Roman" w:cs="Times New Roman"/>
          <w:b/>
          <w:bCs/>
          <w:kern w:val="0"/>
          <w:szCs w:val="24"/>
          <w:lang w:eastAsia="en-AU"/>
          <w14:ligatures w14:val="none"/>
        </w:rPr>
        <w:t>Note 12</w:t>
      </w:r>
      <w:r w:rsidRPr="00DB0E54">
        <w:rPr>
          <w:rFonts w:eastAsia="Times New Roman" w:cs="Times New Roman"/>
          <w:kern w:val="0"/>
          <w:szCs w:val="24"/>
          <w:lang w:eastAsia="en-AU"/>
          <w14:ligatures w14:val="none"/>
        </w:rPr>
        <w:t xml:space="preserve"> Rosalind B. Brooke (ed. and tr.), </w:t>
      </w:r>
      <w:r w:rsidRPr="00DB0E54">
        <w:rPr>
          <w:rFonts w:eastAsia="Times New Roman" w:cs="Times New Roman"/>
          <w:i/>
          <w:iCs/>
          <w:kern w:val="0"/>
          <w:szCs w:val="24"/>
          <w:lang w:eastAsia="en-AU"/>
          <w14:ligatures w14:val="none"/>
        </w:rPr>
        <w:t>The Writings of Leo, Rufino and Angelo, Companions of St. Francis</w:t>
      </w:r>
      <w:r w:rsidRPr="00DB0E54">
        <w:rPr>
          <w:rFonts w:eastAsia="Times New Roman" w:cs="Times New Roman"/>
          <w:kern w:val="0"/>
          <w:szCs w:val="24"/>
          <w:lang w:eastAsia="en-AU"/>
          <w14:ligatures w14:val="none"/>
        </w:rPr>
        <w:t xml:space="preserve"> (Oxford: Clarendon Press, 1970), p. 95.</w:t>
      </w:r>
    </w:p>
    <w:p w14:paraId="0FC2BA9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1" w:name="note13"/>
      <w:bookmarkEnd w:id="11"/>
      <w:r w:rsidRPr="00DB0E54">
        <w:rPr>
          <w:rFonts w:eastAsia="Times New Roman" w:cs="Times New Roman"/>
          <w:b/>
          <w:bCs/>
          <w:kern w:val="0"/>
          <w:szCs w:val="24"/>
          <w:lang w:eastAsia="en-AU"/>
          <w14:ligatures w14:val="none"/>
        </w:rPr>
        <w:t>Note 13</w:t>
      </w:r>
      <w:r w:rsidRPr="00DB0E54">
        <w:rPr>
          <w:rFonts w:eastAsia="Times New Roman" w:cs="Times New Roman"/>
          <w:kern w:val="0"/>
          <w:szCs w:val="24"/>
          <w:lang w:eastAsia="en-AU"/>
          <w14:ligatures w14:val="none"/>
        </w:rPr>
        <w:t xml:space="preserve"> Celano, </w:t>
      </w:r>
      <w:r w:rsidRPr="00DB0E54">
        <w:rPr>
          <w:rFonts w:eastAsia="Times New Roman" w:cs="Times New Roman"/>
          <w:i/>
          <w:iCs/>
          <w:kern w:val="0"/>
          <w:szCs w:val="24"/>
          <w:lang w:eastAsia="en-AU"/>
          <w14:ligatures w14:val="none"/>
        </w:rPr>
        <w:t>Second Life</w:t>
      </w:r>
      <w:r w:rsidRPr="00DB0E54">
        <w:rPr>
          <w:rFonts w:eastAsia="Times New Roman" w:cs="Times New Roman"/>
          <w:kern w:val="0"/>
          <w:szCs w:val="24"/>
          <w:lang w:eastAsia="en-AU"/>
          <w14:ligatures w14:val="none"/>
        </w:rPr>
        <w:t>, Habig, p. 412.</w:t>
      </w:r>
    </w:p>
    <w:p w14:paraId="3C7C7CC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2" w:name="note14"/>
      <w:bookmarkEnd w:id="12"/>
      <w:r w:rsidRPr="00DB0E54">
        <w:rPr>
          <w:rFonts w:eastAsia="Times New Roman" w:cs="Times New Roman"/>
          <w:b/>
          <w:bCs/>
          <w:kern w:val="0"/>
          <w:szCs w:val="24"/>
          <w:lang w:eastAsia="en-AU"/>
          <w14:ligatures w14:val="none"/>
        </w:rPr>
        <w:t>Note 14</w:t>
      </w:r>
      <w:r w:rsidRPr="00DB0E54">
        <w:rPr>
          <w:rFonts w:eastAsia="Times New Roman" w:cs="Times New Roman"/>
          <w:kern w:val="0"/>
          <w:szCs w:val="24"/>
          <w:lang w:eastAsia="en-AU"/>
          <w14:ligatures w14:val="none"/>
        </w:rPr>
        <w:t xml:space="preserve"> Bonaventure, </w:t>
      </w:r>
      <w:r w:rsidRPr="00DB0E54">
        <w:rPr>
          <w:rFonts w:eastAsia="Times New Roman" w:cs="Times New Roman"/>
          <w:i/>
          <w:iCs/>
          <w:kern w:val="0"/>
          <w:szCs w:val="24"/>
          <w:lang w:eastAsia="en-AU"/>
          <w14:ligatures w14:val="none"/>
        </w:rPr>
        <w:t>Apologia pauperum</w:t>
      </w:r>
      <w:r w:rsidRPr="00DB0E54">
        <w:rPr>
          <w:rFonts w:eastAsia="Times New Roman" w:cs="Times New Roman"/>
          <w:kern w:val="0"/>
          <w:szCs w:val="24"/>
          <w:lang w:eastAsia="en-AU"/>
          <w14:ligatures w14:val="none"/>
        </w:rPr>
        <w:t xml:space="preserve">, translated M.D. Lambert, </w:t>
      </w:r>
      <w:r w:rsidRPr="00DB0E54">
        <w:rPr>
          <w:rFonts w:eastAsia="Times New Roman" w:cs="Times New Roman"/>
          <w:i/>
          <w:iCs/>
          <w:kern w:val="0"/>
          <w:szCs w:val="24"/>
          <w:lang w:eastAsia="en-AU"/>
          <w14:ligatures w14:val="none"/>
        </w:rPr>
        <w:t xml:space="preserve">Franciscan Poverty </w:t>
      </w:r>
      <w:r w:rsidRPr="00DB0E54">
        <w:rPr>
          <w:rFonts w:eastAsia="Times New Roman" w:cs="Times New Roman"/>
          <w:kern w:val="0"/>
          <w:szCs w:val="24"/>
          <w:lang w:eastAsia="en-AU"/>
          <w14:ligatures w14:val="none"/>
        </w:rPr>
        <w:t xml:space="preserve">(London: S.P.C.K., 1961), p. 127. For the complete work see: </w:t>
      </w:r>
      <w:r w:rsidRPr="00DB0E54">
        <w:rPr>
          <w:rFonts w:eastAsia="Times New Roman" w:cs="Times New Roman"/>
          <w:i/>
          <w:iCs/>
          <w:kern w:val="0"/>
          <w:szCs w:val="24"/>
          <w:lang w:eastAsia="en-AU"/>
          <w14:ligatures w14:val="none"/>
        </w:rPr>
        <w:t>Defence of the Mendicants</w:t>
      </w:r>
      <w:r w:rsidRPr="00DB0E54">
        <w:rPr>
          <w:rFonts w:eastAsia="Times New Roman" w:cs="Times New Roman"/>
          <w:kern w:val="0"/>
          <w:szCs w:val="24"/>
          <w:lang w:eastAsia="en-AU"/>
          <w14:ligatures w14:val="none"/>
        </w:rPr>
        <w:t xml:space="preserve">, translated by José de Vinck, in </w:t>
      </w:r>
      <w:r w:rsidRPr="00DB0E54">
        <w:rPr>
          <w:rFonts w:eastAsia="Times New Roman" w:cs="Times New Roman"/>
          <w:i/>
          <w:iCs/>
          <w:kern w:val="0"/>
          <w:szCs w:val="24"/>
          <w:lang w:eastAsia="en-AU"/>
          <w14:ligatures w14:val="none"/>
        </w:rPr>
        <w:t>The Works of Bonaventure</w:t>
      </w:r>
      <w:r w:rsidRPr="00DB0E54">
        <w:rPr>
          <w:rFonts w:eastAsia="Times New Roman" w:cs="Times New Roman"/>
          <w:kern w:val="0"/>
          <w:szCs w:val="24"/>
          <w:lang w:eastAsia="en-AU"/>
          <w14:ligatures w14:val="none"/>
        </w:rPr>
        <w:t>, vol. 4 (Paterson: St Anthony Guild Press, 1966).</w:t>
      </w:r>
    </w:p>
    <w:p w14:paraId="0ECAF2C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3" w:name="note15"/>
      <w:bookmarkEnd w:id="13"/>
      <w:r w:rsidRPr="00DB0E54">
        <w:rPr>
          <w:rFonts w:eastAsia="Times New Roman" w:cs="Times New Roman"/>
          <w:b/>
          <w:bCs/>
          <w:kern w:val="0"/>
          <w:szCs w:val="24"/>
          <w:lang w:eastAsia="en-AU"/>
          <w14:ligatures w14:val="none"/>
        </w:rPr>
        <w:lastRenderedPageBreak/>
        <w:t>Note 15</w:t>
      </w:r>
      <w:r w:rsidRPr="00DB0E54">
        <w:rPr>
          <w:rFonts w:eastAsia="Times New Roman" w:cs="Times New Roman"/>
          <w:kern w:val="0"/>
          <w:szCs w:val="24"/>
          <w:lang w:eastAsia="en-AU"/>
          <w14:ligatures w14:val="none"/>
        </w:rPr>
        <w:t xml:space="preserve"> A rough translation of </w:t>
      </w:r>
      <w:r w:rsidRPr="00DB0E54">
        <w:rPr>
          <w:rFonts w:eastAsia="Times New Roman" w:cs="Times New Roman"/>
          <w:i/>
          <w:iCs/>
          <w:kern w:val="0"/>
          <w:szCs w:val="24"/>
          <w:lang w:eastAsia="en-AU"/>
          <w14:ligatures w14:val="none"/>
        </w:rPr>
        <w:t xml:space="preserve">Exiit </w:t>
      </w:r>
      <w:r w:rsidRPr="00DB0E54">
        <w:rPr>
          <w:rFonts w:eastAsia="Times New Roman" w:cs="Times New Roman"/>
          <w:kern w:val="0"/>
          <w:szCs w:val="24"/>
          <w:lang w:eastAsia="en-AU"/>
          <w14:ligatures w14:val="none"/>
        </w:rPr>
        <w:t>is available on the Web at http://www.mq.edu.au/~philosop/wexiit.html.</w:t>
      </w:r>
    </w:p>
    <w:p w14:paraId="1AD056A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4" w:name="note16"/>
      <w:bookmarkEnd w:id="14"/>
      <w:r w:rsidRPr="00DB0E54">
        <w:rPr>
          <w:rFonts w:eastAsia="Times New Roman" w:cs="Times New Roman"/>
          <w:b/>
          <w:bCs/>
          <w:kern w:val="0"/>
          <w:szCs w:val="24"/>
          <w:lang w:eastAsia="en-AU"/>
          <w14:ligatures w14:val="none"/>
        </w:rPr>
        <w:t>Note 16</w:t>
      </w:r>
      <w:r w:rsidRPr="00DB0E54">
        <w:rPr>
          <w:rFonts w:eastAsia="Times New Roman" w:cs="Times New Roman"/>
          <w:kern w:val="0"/>
          <w:szCs w:val="24"/>
          <w:lang w:eastAsia="en-AU"/>
          <w14:ligatures w14:val="none"/>
        </w:rPr>
        <w:t xml:space="preserve"> See Decima Douie, </w:t>
      </w:r>
      <w:r w:rsidRPr="00DB0E54">
        <w:rPr>
          <w:rFonts w:eastAsia="Times New Roman" w:cs="Times New Roman"/>
          <w:i/>
          <w:iCs/>
          <w:kern w:val="0"/>
          <w:szCs w:val="24"/>
          <w:lang w:eastAsia="en-AU"/>
          <w14:ligatures w14:val="none"/>
        </w:rPr>
        <w:t xml:space="preserve">The Nature and the Effect of the Heresy of the Fraticelli </w:t>
      </w:r>
      <w:r w:rsidRPr="00DB0E54">
        <w:rPr>
          <w:rFonts w:eastAsia="Times New Roman" w:cs="Times New Roman"/>
          <w:kern w:val="0"/>
          <w:szCs w:val="24"/>
          <w:lang w:eastAsia="en-AU"/>
          <w14:ligatures w14:val="none"/>
        </w:rPr>
        <w:t xml:space="preserve">(Manchester: Manchester University Press, 1932); M.D. Lambert, </w:t>
      </w:r>
      <w:r w:rsidRPr="00DB0E54">
        <w:rPr>
          <w:rFonts w:eastAsia="Times New Roman" w:cs="Times New Roman"/>
          <w:i/>
          <w:iCs/>
          <w:kern w:val="0"/>
          <w:szCs w:val="24"/>
          <w:lang w:eastAsia="en-AU"/>
          <w14:ligatures w14:val="none"/>
        </w:rPr>
        <w:t>op. cit</w:t>
      </w:r>
      <w:r w:rsidRPr="00DB0E54">
        <w:rPr>
          <w:rFonts w:eastAsia="Times New Roman" w:cs="Times New Roman"/>
          <w:kern w:val="0"/>
          <w:szCs w:val="24"/>
          <w:lang w:eastAsia="en-AU"/>
          <w14:ligatures w14:val="none"/>
        </w:rPr>
        <w:t>.</w:t>
      </w:r>
      <w:r w:rsidRPr="00DB0E54">
        <w:rPr>
          <w:rFonts w:eastAsia="Times New Roman" w:cs="Times New Roman"/>
          <w:i/>
          <w:iCs/>
          <w:kern w:val="0"/>
          <w:szCs w:val="24"/>
          <w:lang w:eastAsia="en-AU"/>
          <w14:ligatures w14:val="none"/>
        </w:rPr>
        <w:t xml:space="preserve">; </w:t>
      </w:r>
      <w:r w:rsidRPr="00DB0E54">
        <w:rPr>
          <w:rFonts w:eastAsia="Times New Roman" w:cs="Times New Roman"/>
          <w:kern w:val="0"/>
          <w:szCs w:val="24"/>
          <w:lang w:eastAsia="en-AU"/>
          <w14:ligatures w14:val="none"/>
        </w:rPr>
        <w:t xml:space="preserve">Gordon Leff, </w:t>
      </w:r>
      <w:r w:rsidRPr="00DB0E54">
        <w:rPr>
          <w:rFonts w:eastAsia="Times New Roman" w:cs="Times New Roman"/>
          <w:i/>
          <w:iCs/>
          <w:kern w:val="0"/>
          <w:szCs w:val="24"/>
          <w:lang w:eastAsia="en-AU"/>
          <w14:ligatures w14:val="none"/>
        </w:rPr>
        <w:t xml:space="preserve">Heresy in the Later Middle Ages </w:t>
      </w:r>
      <w:r w:rsidRPr="00DB0E54">
        <w:rPr>
          <w:rFonts w:eastAsia="Times New Roman" w:cs="Times New Roman"/>
          <w:kern w:val="0"/>
          <w:szCs w:val="24"/>
          <w:lang w:eastAsia="en-AU"/>
          <w14:ligatures w14:val="none"/>
        </w:rPr>
        <w:t xml:space="preserve">(Manchester: Manchester University Press, 1967); Brian Tierney, </w:t>
      </w:r>
      <w:r w:rsidRPr="00DB0E54">
        <w:rPr>
          <w:rFonts w:eastAsia="Times New Roman" w:cs="Times New Roman"/>
          <w:i/>
          <w:iCs/>
          <w:kern w:val="0"/>
          <w:szCs w:val="24"/>
          <w:lang w:eastAsia="en-AU"/>
          <w14:ligatures w14:val="none"/>
        </w:rPr>
        <w:t xml:space="preserve">Origins of Papal Infallibility, 1150-1350 </w:t>
      </w:r>
      <w:r w:rsidRPr="00DB0E54">
        <w:rPr>
          <w:rFonts w:eastAsia="Times New Roman" w:cs="Times New Roman"/>
          <w:kern w:val="0"/>
          <w:szCs w:val="24"/>
          <w:lang w:eastAsia="en-AU"/>
          <w14:ligatures w14:val="none"/>
        </w:rPr>
        <w:t xml:space="preserve">(Leiden: Brill, 1972). For Thomas Aquinas's part in the controversy between seculars and mendicants (i.e. Franciscans and Dominicans), see J.A. Weisheipl, </w:t>
      </w:r>
      <w:r w:rsidRPr="00DB0E54">
        <w:rPr>
          <w:rFonts w:eastAsia="Times New Roman" w:cs="Times New Roman"/>
          <w:i/>
          <w:iCs/>
          <w:kern w:val="0"/>
          <w:szCs w:val="24"/>
          <w:lang w:eastAsia="en-AU"/>
          <w14:ligatures w14:val="none"/>
        </w:rPr>
        <w:t>Friar Thomas D'Aquino</w:t>
      </w:r>
      <w:r w:rsidRPr="00DB0E54">
        <w:rPr>
          <w:rFonts w:eastAsia="Times New Roman" w:cs="Times New Roman"/>
          <w:kern w:val="0"/>
          <w:szCs w:val="24"/>
          <w:lang w:eastAsia="en-AU"/>
          <w14:ligatures w14:val="none"/>
        </w:rPr>
        <w:t xml:space="preserve"> (Oxford: Basil Blackwell, 1974), pp. 80-92, 263-72, 383-4.</w:t>
      </w:r>
    </w:p>
    <w:p w14:paraId="4599B590"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5" w:name="note17"/>
      <w:bookmarkEnd w:id="15"/>
      <w:r w:rsidRPr="00DB0E54">
        <w:rPr>
          <w:rFonts w:eastAsia="Times New Roman" w:cs="Times New Roman"/>
          <w:b/>
          <w:bCs/>
          <w:kern w:val="0"/>
          <w:szCs w:val="24"/>
          <w:lang w:eastAsia="en-AU"/>
          <w14:ligatures w14:val="none"/>
        </w:rPr>
        <w:t>Note 17</w:t>
      </w:r>
      <w:r w:rsidRPr="00DB0E54">
        <w:rPr>
          <w:rFonts w:eastAsia="Times New Roman" w:cs="Times New Roman"/>
          <w:kern w:val="0"/>
          <w:szCs w:val="24"/>
          <w:lang w:eastAsia="en-AU"/>
          <w14:ligatures w14:val="none"/>
        </w:rPr>
        <w:t xml:space="preserve"> For rough translations of some of John's constitutions see http://www.mq.edu.au/~ockham/0pgeock.html.</w:t>
      </w:r>
    </w:p>
    <w:p w14:paraId="34D72E2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6" w:name="note18"/>
      <w:bookmarkEnd w:id="16"/>
      <w:r w:rsidRPr="00DB0E54">
        <w:rPr>
          <w:rFonts w:eastAsia="Times New Roman" w:cs="Times New Roman"/>
          <w:b/>
          <w:bCs/>
          <w:kern w:val="0"/>
          <w:szCs w:val="24"/>
          <w:lang w:eastAsia="en-AU"/>
          <w14:ligatures w14:val="none"/>
        </w:rPr>
        <w:t>Note 18</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5-6. He goes on to list the errors and heresies.</w:t>
      </w:r>
    </w:p>
    <w:p w14:paraId="3E135E8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7" w:name="note19"/>
      <w:bookmarkEnd w:id="17"/>
      <w:r w:rsidRPr="00DB0E54">
        <w:rPr>
          <w:rFonts w:eastAsia="Times New Roman" w:cs="Times New Roman"/>
          <w:b/>
          <w:bCs/>
          <w:kern w:val="0"/>
          <w:szCs w:val="24"/>
          <w:lang w:eastAsia="en-AU"/>
          <w14:ligatures w14:val="none"/>
        </w:rPr>
        <w:t>Note 19</w:t>
      </w:r>
      <w:r w:rsidRPr="00DB0E54">
        <w:rPr>
          <w:rFonts w:eastAsia="Times New Roman" w:cs="Times New Roman"/>
          <w:kern w:val="0"/>
          <w:szCs w:val="24"/>
          <w:lang w:eastAsia="en-AU"/>
          <w14:ligatures w14:val="none"/>
        </w:rPr>
        <w:t xml:space="preserve"> For a list of Michael's writings, see Carlo Dolcini, </w:t>
      </w:r>
      <w:r w:rsidRPr="00DB0E54">
        <w:rPr>
          <w:rFonts w:eastAsia="Times New Roman" w:cs="Times New Roman"/>
          <w:i/>
          <w:iCs/>
          <w:kern w:val="0"/>
          <w:szCs w:val="24"/>
          <w:lang w:eastAsia="en-AU"/>
          <w14:ligatures w14:val="none"/>
        </w:rPr>
        <w:t xml:space="preserve">Il Pensiero Politico di Michele da Cesena 1328-1338 </w:t>
      </w:r>
      <w:r w:rsidRPr="00DB0E54">
        <w:rPr>
          <w:rFonts w:eastAsia="Times New Roman" w:cs="Times New Roman"/>
          <w:kern w:val="0"/>
          <w:szCs w:val="24"/>
          <w:lang w:eastAsia="en-AU"/>
          <w14:ligatures w14:val="none"/>
        </w:rPr>
        <w:t>(Quaderni degli "Studi Romagnoli", 10, Faenza: Fratelli Lega Editori, 1977), pp. 11-12.</w:t>
      </w:r>
    </w:p>
    <w:p w14:paraId="081DFCE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8" w:name="note20"/>
      <w:bookmarkEnd w:id="18"/>
      <w:r w:rsidRPr="00DB0E54">
        <w:rPr>
          <w:rFonts w:eastAsia="Times New Roman" w:cs="Times New Roman"/>
          <w:b/>
          <w:bCs/>
          <w:kern w:val="0"/>
          <w:szCs w:val="24"/>
          <w:lang w:eastAsia="en-AU"/>
          <w14:ligatures w14:val="none"/>
        </w:rPr>
        <w:t>Note 20</w:t>
      </w:r>
      <w:r w:rsidRPr="00DB0E54">
        <w:rPr>
          <w:rFonts w:eastAsia="Times New Roman" w:cs="Times New Roman"/>
          <w:kern w:val="0"/>
          <w:szCs w:val="24"/>
          <w:lang w:eastAsia="en-AU"/>
          <w14:ligatures w14:val="none"/>
        </w:rPr>
        <w:t xml:space="preserve"> For dates of Ockham's works see Offler's introductions in </w:t>
      </w:r>
      <w:r w:rsidRPr="00DB0E54">
        <w:rPr>
          <w:rFonts w:eastAsia="Times New Roman" w:cs="Times New Roman"/>
          <w:i/>
          <w:iCs/>
          <w:kern w:val="0"/>
          <w:szCs w:val="24"/>
          <w:lang w:eastAsia="en-AU"/>
          <w14:ligatures w14:val="none"/>
        </w:rPr>
        <w:t>OP</w:t>
      </w:r>
      <w:r w:rsidRPr="00DB0E54">
        <w:rPr>
          <w:rFonts w:eastAsia="Times New Roman" w:cs="Times New Roman"/>
          <w:kern w:val="0"/>
          <w:szCs w:val="24"/>
          <w:lang w:eastAsia="en-AU"/>
          <w14:ligatures w14:val="none"/>
        </w:rPr>
        <w:t>.</w:t>
      </w:r>
    </w:p>
    <w:p w14:paraId="017C8CB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19" w:name="note21"/>
      <w:bookmarkEnd w:id="19"/>
      <w:r w:rsidRPr="00DB0E54">
        <w:rPr>
          <w:rFonts w:eastAsia="Times New Roman" w:cs="Times New Roman"/>
          <w:b/>
          <w:bCs/>
          <w:kern w:val="0"/>
          <w:szCs w:val="24"/>
          <w:lang w:eastAsia="en-AU"/>
          <w14:ligatures w14:val="none"/>
        </w:rPr>
        <w:t>Note 21</w:t>
      </w:r>
      <w:r w:rsidRPr="00DB0E54">
        <w:rPr>
          <w:rFonts w:eastAsia="Times New Roman" w:cs="Times New Roman"/>
          <w:kern w:val="0"/>
          <w:szCs w:val="24"/>
          <w:lang w:eastAsia="en-AU"/>
          <w14:ligatures w14:val="none"/>
        </w:rPr>
        <w:t xml:space="preserve"> See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124.462-466 (p. 857). For expression of differences, see 94.327-332 (p. 714), 103.85-98 (p. 766), 106.66-114 (pp. 772-3), 124.44, 96 (pp. 847-8) Sometimes it sounds as if the attackers are a collective author, with Ockham merely holding the pen; see 105.19-21 (p. 770).</w:t>
      </w:r>
    </w:p>
    <w:p w14:paraId="222F8EB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0" w:name="note22"/>
      <w:bookmarkEnd w:id="20"/>
      <w:r w:rsidRPr="00DB0E54">
        <w:rPr>
          <w:rFonts w:eastAsia="Times New Roman" w:cs="Times New Roman"/>
          <w:b/>
          <w:bCs/>
          <w:kern w:val="0"/>
          <w:szCs w:val="24"/>
          <w:lang w:eastAsia="en-AU"/>
          <w14:ligatures w14:val="none"/>
        </w:rPr>
        <w:t>Note 22</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 229. This duty seems to be an implication of Ockham's interpretation of Christ's promise to be with the Church all days; see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 206, and </w:t>
      </w:r>
      <w:r w:rsidRPr="00DB0E54">
        <w:rPr>
          <w:rFonts w:eastAsia="Times New Roman" w:cs="Times New Roman"/>
          <w:i/>
          <w:iCs/>
          <w:kern w:val="0"/>
          <w:szCs w:val="24"/>
          <w:lang w:eastAsia="en-AU"/>
          <w14:ligatures w14:val="none"/>
        </w:rPr>
        <w:t>Contra Ioannem</w:t>
      </w:r>
      <w:r w:rsidRPr="00DB0E54">
        <w:rPr>
          <w:rFonts w:eastAsia="Times New Roman" w:cs="Times New Roman"/>
          <w:kern w:val="0"/>
          <w:szCs w:val="24"/>
          <w:lang w:eastAsia="en-AU"/>
          <w14:ligatures w14:val="none"/>
        </w:rPr>
        <w:t>, 14 (</w:t>
      </w:r>
      <w:r w:rsidRPr="00DB0E54">
        <w:rPr>
          <w:rFonts w:eastAsia="Times New Roman" w:cs="Times New Roman"/>
          <w:i/>
          <w:iCs/>
          <w:kern w:val="0"/>
          <w:szCs w:val="24"/>
          <w:lang w:eastAsia="en-AU"/>
          <w14:ligatures w14:val="none"/>
        </w:rPr>
        <w:t>OP</w:t>
      </w:r>
      <w:r w:rsidRPr="00DB0E54">
        <w:rPr>
          <w:rFonts w:eastAsia="Times New Roman" w:cs="Times New Roman"/>
          <w:kern w:val="0"/>
          <w:szCs w:val="24"/>
          <w:lang w:eastAsia="en-AU"/>
          <w14:ligatures w14:val="none"/>
        </w:rPr>
        <w:t>, vol. 3, p. 67, lines 22-34). However, it is "not necessary on every occasion to confess with one's mouth the truth, even if it is catholic, since it falls under an affirmative precept, which always obliges but not for always" (</w:t>
      </w:r>
      <w:r w:rsidRPr="00DB0E54">
        <w:rPr>
          <w:rFonts w:eastAsia="Times New Roman" w:cs="Times New Roman"/>
          <w:i/>
          <w:iCs/>
          <w:kern w:val="0"/>
          <w:szCs w:val="24"/>
          <w:lang w:eastAsia="en-AU"/>
          <w14:ligatures w14:val="none"/>
        </w:rPr>
        <w:t xml:space="preserve">III-1 Dial., </w:t>
      </w:r>
      <w:r w:rsidRPr="00DB0E54">
        <w:rPr>
          <w:rFonts w:eastAsia="Times New Roman" w:cs="Times New Roman"/>
          <w:kern w:val="0"/>
          <w:szCs w:val="24"/>
          <w:lang w:eastAsia="en-AU"/>
          <w14:ligatures w14:val="none"/>
        </w:rPr>
        <w:t>Prologue); hence the legitimacy of recitative works</w:t>
      </w:r>
      <w:r w:rsidRPr="00DB0E54">
        <w:rPr>
          <w:rFonts w:eastAsia="Times New Roman" w:cs="Times New Roman"/>
          <w:i/>
          <w:iCs/>
          <w:kern w:val="0"/>
          <w:szCs w:val="24"/>
          <w:lang w:eastAsia="en-AU"/>
          <w14:ligatures w14:val="none"/>
        </w:rPr>
        <w:t>.</w:t>
      </w:r>
    </w:p>
    <w:p w14:paraId="1583DA5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1" w:name="note23"/>
      <w:bookmarkEnd w:id="21"/>
      <w:r w:rsidRPr="00DB0E54">
        <w:rPr>
          <w:rFonts w:eastAsia="Times New Roman" w:cs="Times New Roman"/>
          <w:b/>
          <w:bCs/>
          <w:kern w:val="0"/>
          <w:szCs w:val="24"/>
          <w:lang w:eastAsia="en-AU"/>
          <w14:ligatures w14:val="none"/>
        </w:rPr>
        <w:lastRenderedPageBreak/>
        <w:t>Note 23</w:t>
      </w:r>
      <w:r w:rsidRPr="00DB0E54">
        <w:rPr>
          <w:rFonts w:eastAsia="Times New Roman" w:cs="Times New Roman"/>
          <w:kern w:val="0"/>
          <w:szCs w:val="24"/>
          <w:lang w:eastAsia="en-AU"/>
          <w14:ligatures w14:val="none"/>
        </w:rPr>
        <w:t xml:space="preserve"> See, for example,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288,</w:t>
      </w:r>
      <w:r w:rsidRPr="00DB0E54">
        <w:rPr>
          <w:rFonts w:eastAsia="Times New Roman" w:cs="Times New Roman"/>
          <w:i/>
          <w:iCs/>
          <w:kern w:val="0"/>
          <w:szCs w:val="24"/>
          <w:lang w:eastAsia="en-AU"/>
          <w14:ligatures w14:val="none"/>
        </w:rPr>
        <w:t xml:space="preserve"> III-1 Dial.</w:t>
      </w:r>
      <w:r w:rsidRPr="00DB0E54">
        <w:rPr>
          <w:rFonts w:eastAsia="Times New Roman" w:cs="Times New Roman"/>
          <w:kern w:val="0"/>
          <w:szCs w:val="24"/>
          <w:lang w:eastAsia="en-AU"/>
          <w14:ligatures w14:val="none"/>
        </w:rPr>
        <w:t xml:space="preserve">, iii.4,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xml:space="preserve">., ii.8. However, some of the theories we might expect Ockham to favour are not asserted elsewhere; it seems likely that some of the discussion is simply exploratory. (Notice the warnings at the beginning of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xml:space="preserve">, v.34.) On the interpretation of the </w:t>
      </w:r>
      <w:r w:rsidRPr="00DB0E54">
        <w:rPr>
          <w:rFonts w:eastAsia="Times New Roman" w:cs="Times New Roman"/>
          <w:i/>
          <w:iCs/>
          <w:kern w:val="0"/>
          <w:szCs w:val="24"/>
          <w:lang w:eastAsia="en-AU"/>
          <w14:ligatures w14:val="none"/>
        </w:rPr>
        <w:t>Dialogus</w:t>
      </w:r>
      <w:r w:rsidRPr="00DB0E54">
        <w:rPr>
          <w:rFonts w:eastAsia="Times New Roman" w:cs="Times New Roman"/>
          <w:kern w:val="0"/>
          <w:szCs w:val="24"/>
          <w:lang w:eastAsia="en-AU"/>
          <w14:ligatures w14:val="none"/>
        </w:rPr>
        <w:t xml:space="preserve">, see Knysh, </w:t>
      </w:r>
      <w:r w:rsidRPr="00DB0E54">
        <w:rPr>
          <w:rFonts w:eastAsia="Times New Roman" w:cs="Times New Roman"/>
          <w:i/>
          <w:iCs/>
          <w:kern w:val="0"/>
          <w:szCs w:val="24"/>
          <w:lang w:eastAsia="en-AU"/>
          <w14:ligatures w14:val="none"/>
        </w:rPr>
        <w:t>Political Ockhamism</w:t>
      </w:r>
      <w:r w:rsidRPr="00DB0E54">
        <w:rPr>
          <w:rFonts w:eastAsia="Times New Roman" w:cs="Times New Roman"/>
          <w:kern w:val="0"/>
          <w:szCs w:val="24"/>
          <w:lang w:eastAsia="en-AU"/>
          <w14:ligatures w14:val="none"/>
        </w:rPr>
        <w:t xml:space="preserve">, pp. 237-264. On the interpretation of </w:t>
      </w:r>
      <w:r w:rsidRPr="00DB0E54">
        <w:rPr>
          <w:rFonts w:eastAsia="Times New Roman" w:cs="Times New Roman"/>
          <w:i/>
          <w:iCs/>
          <w:kern w:val="0"/>
          <w:szCs w:val="24"/>
          <w:lang w:eastAsia="en-AU"/>
          <w14:ligatures w14:val="none"/>
        </w:rPr>
        <w:t xml:space="preserve">OQ </w:t>
      </w:r>
      <w:r w:rsidRPr="00DB0E54">
        <w:rPr>
          <w:rFonts w:eastAsia="Times New Roman" w:cs="Times New Roman"/>
          <w:kern w:val="0"/>
          <w:szCs w:val="24"/>
          <w:lang w:eastAsia="en-AU"/>
          <w14:ligatures w14:val="none"/>
        </w:rPr>
        <w:t>see Offler's introduction, p. 13; he suggests that in iv and viii Ockham's opinion is the opinion ascribed to the German princes.</w:t>
      </w:r>
    </w:p>
    <w:p w14:paraId="7E5B9C8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2" w:name="note24"/>
      <w:bookmarkEnd w:id="22"/>
      <w:r w:rsidRPr="00DB0E54">
        <w:rPr>
          <w:rFonts w:eastAsia="Times New Roman" w:cs="Times New Roman"/>
          <w:b/>
          <w:bCs/>
          <w:kern w:val="0"/>
          <w:szCs w:val="24"/>
          <w:lang w:eastAsia="en-AU"/>
          <w14:ligatures w14:val="none"/>
        </w:rPr>
        <w:t>Note 24</w:t>
      </w:r>
      <w:r w:rsidRPr="00DB0E54">
        <w:rPr>
          <w:rFonts w:eastAsia="Times New Roman" w:cs="Times New Roman"/>
          <w:kern w:val="0"/>
          <w:szCs w:val="24"/>
          <w:lang w:eastAsia="en-AU"/>
          <w14:ligatures w14:val="none"/>
        </w:rPr>
        <w:t xml:space="preserve"> See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pp. 45-59, especially Chapter 65. See also </w:t>
      </w:r>
      <w:r w:rsidRPr="00DB0E54">
        <w:rPr>
          <w:rFonts w:eastAsia="Times New Roman" w:cs="Times New Roman"/>
          <w:i/>
          <w:iCs/>
          <w:kern w:val="0"/>
          <w:szCs w:val="24"/>
          <w:lang w:eastAsia="en-AU"/>
          <w14:ligatures w14:val="none"/>
        </w:rPr>
        <w:t xml:space="preserve">SD, </w:t>
      </w:r>
      <w:r w:rsidRPr="00DB0E54">
        <w:rPr>
          <w:rFonts w:eastAsia="Times New Roman" w:cs="Times New Roman"/>
          <w:kern w:val="0"/>
          <w:szCs w:val="24"/>
          <w:lang w:eastAsia="en-AU"/>
          <w14:ligatures w14:val="none"/>
        </w:rPr>
        <w:t>pp. 87-94.</w:t>
      </w:r>
    </w:p>
    <w:p w14:paraId="1B9188C1"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3" w:name="note25"/>
      <w:bookmarkEnd w:id="23"/>
      <w:r w:rsidRPr="00DB0E54">
        <w:rPr>
          <w:rFonts w:eastAsia="Times New Roman" w:cs="Times New Roman"/>
          <w:b/>
          <w:bCs/>
          <w:kern w:val="0"/>
          <w:szCs w:val="24"/>
          <w:lang w:eastAsia="en-AU"/>
          <w14:ligatures w14:val="none"/>
        </w:rPr>
        <w:t>Note 25</w:t>
      </w:r>
      <w:r w:rsidRPr="00DB0E54">
        <w:rPr>
          <w:rFonts w:eastAsia="Times New Roman" w:cs="Times New Roman"/>
          <w:kern w:val="0"/>
          <w:szCs w:val="24"/>
          <w:lang w:eastAsia="en-AU"/>
          <w14:ligatures w14:val="none"/>
        </w:rPr>
        <w:t xml:space="preserve"> Natural law and natural rights figure prominently in Ockham's political thought. See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286-93.</w:t>
      </w:r>
    </w:p>
    <w:p w14:paraId="393826E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4" w:name="note26"/>
      <w:bookmarkEnd w:id="24"/>
      <w:r w:rsidRPr="00DB0E54">
        <w:rPr>
          <w:rFonts w:eastAsia="Times New Roman" w:cs="Times New Roman"/>
          <w:b/>
          <w:bCs/>
          <w:kern w:val="0"/>
          <w:szCs w:val="24"/>
          <w:lang w:eastAsia="en-AU"/>
          <w14:ligatures w14:val="none"/>
        </w:rPr>
        <w:t>Note 26</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xml:space="preserve">, 6.269-71 (p. 361). </w:t>
      </w:r>
      <w:r w:rsidRPr="00DB0E54">
        <w:rPr>
          <w:rFonts w:eastAsia="Times New Roman" w:cs="Times New Roman"/>
          <w:i/>
          <w:iCs/>
          <w:kern w:val="0"/>
          <w:szCs w:val="24"/>
          <w:lang w:eastAsia="en-AU"/>
          <w14:ligatures w14:val="none"/>
        </w:rPr>
        <w:t xml:space="preserve">OND </w:t>
      </w:r>
      <w:r w:rsidRPr="00DB0E54">
        <w:rPr>
          <w:rFonts w:eastAsia="Times New Roman" w:cs="Times New Roman"/>
          <w:kern w:val="0"/>
          <w:szCs w:val="24"/>
          <w:lang w:eastAsia="en-AU"/>
          <w14:ligatures w14:val="none"/>
        </w:rPr>
        <w:t xml:space="preserve">Chapter 2 defines various key terms, but not "simple use of fact". "Use of fact" is defined in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2.99-126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22) as an action</w:t>
      </w:r>
      <w:r w:rsidRPr="00DB0E54">
        <w:rPr>
          <w:rFonts w:eastAsia="Times New Roman" w:cs="Times New Roman"/>
          <w:i/>
          <w:iCs/>
          <w:kern w:val="0"/>
          <w:szCs w:val="24"/>
          <w:lang w:eastAsia="en-AU"/>
          <w14:ligatures w14:val="none"/>
        </w:rPr>
        <w:t xml:space="preserve">. </w:t>
      </w:r>
      <w:r w:rsidRPr="00DB0E54">
        <w:rPr>
          <w:rFonts w:eastAsia="Times New Roman" w:cs="Times New Roman"/>
          <w:kern w:val="0"/>
          <w:szCs w:val="24"/>
          <w:lang w:eastAsia="en-AU"/>
          <w14:ligatures w14:val="none"/>
        </w:rPr>
        <w:t xml:space="preserve">"Simple user" is defined in the relevant sense in </w:t>
      </w:r>
      <w:r w:rsidRPr="00DB0E54">
        <w:rPr>
          <w:rFonts w:eastAsia="Times New Roman" w:cs="Times New Roman"/>
          <w:i/>
          <w:iCs/>
          <w:kern w:val="0"/>
          <w:szCs w:val="24"/>
          <w:lang w:eastAsia="en-AU"/>
          <w14:ligatures w14:val="none"/>
        </w:rPr>
        <w:t xml:space="preserve">OND </w:t>
      </w:r>
      <w:r w:rsidRPr="00DB0E54">
        <w:rPr>
          <w:rFonts w:eastAsia="Times New Roman" w:cs="Times New Roman"/>
          <w:kern w:val="0"/>
          <w:szCs w:val="24"/>
          <w:lang w:eastAsia="en-AU"/>
          <w14:ligatures w14:val="none"/>
        </w:rPr>
        <w:t>2.217-35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 26) as one who has use of fact without a legal right. For definition of "simple use of fact" see: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6.303-11 (p. 362); 32.305-8, 337-42 (pp. 507-8); 33.29-32 (p. 510); 35.62-64 (p. 513); 37.128-137 (pp. 517-8); 56.59-63 (p. 547); 58.87-129 (pp. 550-1). It may be an act rather than a power, and it need not be licit (i.e. it need not be associated with a moral right); the essential point is that (in the sense that mainly interests Ockham) it neither requires nor excludes any legal right.</w:t>
      </w:r>
    </w:p>
    <w:p w14:paraId="3A398778"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5" w:name="note27"/>
      <w:bookmarkEnd w:id="25"/>
      <w:r w:rsidRPr="00DB0E54">
        <w:rPr>
          <w:rFonts w:eastAsia="Times New Roman" w:cs="Times New Roman"/>
          <w:b/>
          <w:bCs/>
          <w:kern w:val="0"/>
          <w:szCs w:val="24"/>
          <w:lang w:eastAsia="en-AU"/>
          <w14:ligatures w14:val="none"/>
        </w:rPr>
        <w:t>Note 27</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4.255-286 (p. 335), 6.231-256 (pp. 360-1).</w:t>
      </w:r>
    </w:p>
    <w:p w14:paraId="4C0EE3B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6" w:name="note28"/>
      <w:bookmarkEnd w:id="26"/>
      <w:r w:rsidRPr="00DB0E54">
        <w:rPr>
          <w:rFonts w:eastAsia="Times New Roman" w:cs="Times New Roman"/>
          <w:b/>
          <w:bCs/>
          <w:kern w:val="0"/>
          <w:szCs w:val="24"/>
          <w:lang w:eastAsia="en-AU"/>
          <w14:ligatures w14:val="none"/>
        </w:rPr>
        <w:t>Note 28</w:t>
      </w:r>
      <w:r w:rsidRPr="00DB0E54">
        <w:rPr>
          <w:rFonts w:eastAsia="Times New Roman" w:cs="Times New Roman"/>
          <w:kern w:val="0"/>
          <w:szCs w:val="24"/>
          <w:lang w:eastAsia="en-AU"/>
          <w14:ligatures w14:val="none"/>
        </w:rPr>
        <w:t xml:space="preserve"> See Kilcullen, "The Origin of Property: Ockham, Grotius, Pufendorf, and some others", at http://www.mq.edu.au/~ockham/wprop.html, sections 2 and 3. De Soto says that John XXII had acted illegitimately out of hatred of Ockham; Molina says that John was only "disputing and arguing" and not intending to define anything. It was only in the seventeenth century that Pope John's idea made headway that property began as soon as the first human being gathered food and ate it.</w:t>
      </w:r>
    </w:p>
    <w:p w14:paraId="72434E4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7" w:name="note29"/>
      <w:bookmarkEnd w:id="27"/>
      <w:r w:rsidRPr="00DB0E54">
        <w:rPr>
          <w:rFonts w:eastAsia="Times New Roman" w:cs="Times New Roman"/>
          <w:b/>
          <w:bCs/>
          <w:kern w:val="0"/>
          <w:szCs w:val="24"/>
          <w:lang w:eastAsia="en-AU"/>
          <w14:ligatures w14:val="none"/>
        </w:rPr>
        <w:t>Note 29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ii.6.</w:t>
      </w:r>
    </w:p>
    <w:p w14:paraId="1B1FEA38"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8" w:name="note30"/>
      <w:bookmarkEnd w:id="28"/>
      <w:r w:rsidRPr="00DB0E54">
        <w:rPr>
          <w:rFonts w:eastAsia="Times New Roman" w:cs="Times New Roman"/>
          <w:b/>
          <w:bCs/>
          <w:kern w:val="0"/>
          <w:szCs w:val="24"/>
          <w:lang w:eastAsia="en-AU"/>
          <w14:ligatures w14:val="none"/>
        </w:rPr>
        <w:lastRenderedPageBreak/>
        <w:t>Note 30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ii.2-5. This has been called Ockham's "three source" theory, but behind these the one source is God.</w:t>
      </w:r>
    </w:p>
    <w:p w14:paraId="32691EC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29" w:name="note31"/>
      <w:bookmarkEnd w:id="29"/>
      <w:r w:rsidRPr="00DB0E54">
        <w:rPr>
          <w:rFonts w:eastAsia="Times New Roman" w:cs="Times New Roman"/>
          <w:b/>
          <w:bCs/>
          <w:kern w:val="0"/>
          <w:szCs w:val="24"/>
          <w:lang w:eastAsia="en-AU"/>
          <w14:ligatures w14:val="none"/>
        </w:rPr>
        <w:t>Note 31</w:t>
      </w:r>
      <w:r w:rsidRPr="00DB0E54">
        <w:rPr>
          <w:rFonts w:eastAsia="Times New Roman" w:cs="Times New Roman"/>
          <w:kern w:val="0"/>
          <w:szCs w:val="24"/>
          <w:lang w:eastAsia="en-AU"/>
          <w14:ligatures w14:val="none"/>
        </w:rPr>
        <w:t xml:space="preserve"> On legitimate correction, see McGrade, </w:t>
      </w:r>
      <w:r w:rsidRPr="00DB0E54">
        <w:rPr>
          <w:rFonts w:eastAsia="Times New Roman" w:cs="Times New Roman"/>
          <w:i/>
          <w:iCs/>
          <w:kern w:val="0"/>
          <w:szCs w:val="24"/>
          <w:lang w:eastAsia="en-AU"/>
          <w14:ligatures w14:val="none"/>
        </w:rPr>
        <w:t>Political Thought</w:t>
      </w:r>
      <w:r w:rsidRPr="00DB0E54">
        <w:rPr>
          <w:rFonts w:eastAsia="Times New Roman" w:cs="Times New Roman"/>
          <w:kern w:val="0"/>
          <w:szCs w:val="24"/>
          <w:lang w:eastAsia="en-AU"/>
          <w14:ligatures w14:val="none"/>
        </w:rPr>
        <w:t xml:space="preserve">, p. 53 ff. On the indices of pertinacity, see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iv.</w:t>
      </w:r>
    </w:p>
    <w:p w14:paraId="05CE166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0" w:name="note32"/>
      <w:bookmarkEnd w:id="30"/>
      <w:r w:rsidRPr="00DB0E54">
        <w:rPr>
          <w:rFonts w:eastAsia="Times New Roman" w:cs="Times New Roman"/>
          <w:b/>
          <w:bCs/>
          <w:kern w:val="0"/>
          <w:szCs w:val="24"/>
          <w:lang w:eastAsia="en-AU"/>
          <w14:ligatures w14:val="none"/>
        </w:rPr>
        <w:t>Note 32</w:t>
      </w:r>
      <w:r w:rsidRPr="00DB0E54">
        <w:rPr>
          <w:rFonts w:eastAsia="Times New Roman" w:cs="Times New Roman"/>
          <w:kern w:val="0"/>
          <w:szCs w:val="24"/>
          <w:lang w:eastAsia="en-AU"/>
          <w14:ligatures w14:val="none"/>
        </w:rPr>
        <w:t xml:space="preserve"> On the fallibility of every part of the Church, see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v.</w:t>
      </w:r>
    </w:p>
    <w:p w14:paraId="4E3F298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1" w:name="note33"/>
      <w:bookmarkEnd w:id="31"/>
      <w:r w:rsidRPr="00DB0E54">
        <w:rPr>
          <w:rFonts w:eastAsia="Times New Roman" w:cs="Times New Roman"/>
          <w:b/>
          <w:bCs/>
          <w:kern w:val="0"/>
          <w:szCs w:val="24"/>
          <w:lang w:eastAsia="en-AU"/>
          <w14:ligatures w14:val="none"/>
        </w:rPr>
        <w:t>Note 33</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vii.37, 40, 45, 47.</w:t>
      </w:r>
    </w:p>
    <w:p w14:paraId="68297A1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2" w:name="note34"/>
      <w:bookmarkEnd w:id="32"/>
      <w:r w:rsidRPr="00DB0E54">
        <w:rPr>
          <w:rFonts w:eastAsia="Times New Roman" w:cs="Times New Roman"/>
          <w:b/>
          <w:bCs/>
          <w:kern w:val="0"/>
          <w:szCs w:val="24"/>
          <w:lang w:eastAsia="en-AU"/>
          <w14:ligatures w14:val="none"/>
        </w:rPr>
        <w:t>Note 34</w:t>
      </w:r>
      <w:r w:rsidRPr="00DB0E54">
        <w:rPr>
          <w:rFonts w:eastAsia="Times New Roman" w:cs="Times New Roman"/>
          <w:kern w:val="0"/>
          <w:szCs w:val="24"/>
          <w:lang w:eastAsia="en-AU"/>
          <w14:ligatures w14:val="none"/>
        </w:rPr>
        <w:t xml:space="preserve"> The medieval practice of disputation (within which Ockham's recitative works fall) already allowed a measure of free thought and free speech, and Ockham's inquiry into papal power, though he felt a need to justify it, would probably have been recognised as legitimate by other theologians; see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i, especially Chapter 2 (pp. 6-8) and notes 4 and 10.</w:t>
      </w:r>
    </w:p>
    <w:p w14:paraId="1A3D6780"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3" w:name="note35"/>
      <w:bookmarkEnd w:id="33"/>
      <w:r w:rsidRPr="00DB0E54">
        <w:rPr>
          <w:rFonts w:eastAsia="Times New Roman" w:cs="Times New Roman"/>
          <w:b/>
          <w:bCs/>
          <w:kern w:val="0"/>
          <w:szCs w:val="24"/>
          <w:lang w:eastAsia="en-AU"/>
          <w14:ligatures w14:val="none"/>
        </w:rPr>
        <w:t>Note 35</w:t>
      </w:r>
      <w:r w:rsidRPr="00DB0E54">
        <w:rPr>
          <w:rFonts w:eastAsia="Times New Roman" w:cs="Times New Roman"/>
          <w:kern w:val="0"/>
          <w:szCs w:val="24"/>
          <w:lang w:eastAsia="en-AU"/>
          <w14:ligatures w14:val="none"/>
        </w:rPr>
        <w:t xml:space="preserve"> See Brian Tierney, </w:t>
      </w:r>
      <w:r w:rsidRPr="00DB0E54">
        <w:rPr>
          <w:rFonts w:eastAsia="Times New Roman" w:cs="Times New Roman"/>
          <w:i/>
          <w:iCs/>
          <w:kern w:val="0"/>
          <w:szCs w:val="24"/>
          <w:lang w:eastAsia="en-AU"/>
          <w14:ligatures w14:val="none"/>
        </w:rPr>
        <w:t xml:space="preserve">Foundations of the Conciliar Thought </w:t>
      </w:r>
      <w:r w:rsidRPr="00DB0E54">
        <w:rPr>
          <w:rFonts w:eastAsia="Times New Roman" w:cs="Times New Roman"/>
          <w:kern w:val="0"/>
          <w:szCs w:val="24"/>
          <w:lang w:eastAsia="en-AU"/>
          <w14:ligatures w14:val="none"/>
        </w:rPr>
        <w:t xml:space="preserve">(Cambridge: Cambridge University Press, 1955), pp. 57-67. For statements of these premises, see </w:t>
      </w:r>
      <w:r w:rsidRPr="00DB0E54">
        <w:rPr>
          <w:rFonts w:eastAsia="Times New Roman" w:cs="Times New Roman"/>
          <w:i/>
          <w:iCs/>
          <w:kern w:val="0"/>
          <w:szCs w:val="24"/>
          <w:lang w:eastAsia="en-AU"/>
          <w14:ligatures w14:val="none"/>
        </w:rPr>
        <w:t>CB</w:t>
      </w:r>
      <w:r w:rsidRPr="00DB0E54">
        <w:rPr>
          <w:rFonts w:eastAsia="Times New Roman" w:cs="Times New Roman"/>
          <w:kern w:val="0"/>
          <w:szCs w:val="24"/>
          <w:lang w:eastAsia="en-AU"/>
          <w14:ligatures w14:val="none"/>
        </w:rPr>
        <w:t>, vii.1, 13 (pp. 303, 318).</w:t>
      </w:r>
    </w:p>
    <w:p w14:paraId="40B8543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4" w:name="note36"/>
      <w:bookmarkEnd w:id="34"/>
      <w:r w:rsidRPr="00DB0E54">
        <w:rPr>
          <w:rFonts w:eastAsia="Times New Roman" w:cs="Times New Roman"/>
          <w:b/>
          <w:bCs/>
          <w:kern w:val="0"/>
          <w:szCs w:val="24"/>
          <w:lang w:eastAsia="en-AU"/>
          <w14:ligatures w14:val="none"/>
        </w:rPr>
        <w:t>Note 36</w:t>
      </w:r>
      <w:r w:rsidRPr="00DB0E54">
        <w:rPr>
          <w:rFonts w:eastAsia="Times New Roman" w:cs="Times New Roman"/>
          <w:kern w:val="0"/>
          <w:szCs w:val="24"/>
          <w:lang w:eastAsia="en-AU"/>
          <w14:ligatures w14:val="none"/>
        </w:rPr>
        <w:t xml:space="preserve"> For example, according to Thomas Aquinas, "Those to whom pertains the care of intermediate ends [i.e. kings] should be subject to him [i.e. the Roman Pontiff] to whom pertains the care of the ultimate end"; </w:t>
      </w:r>
      <w:r w:rsidRPr="00DB0E54">
        <w:rPr>
          <w:rFonts w:eastAsia="Times New Roman" w:cs="Times New Roman"/>
          <w:i/>
          <w:iCs/>
          <w:kern w:val="0"/>
          <w:szCs w:val="24"/>
          <w:lang w:eastAsia="en-AU"/>
          <w14:ligatures w14:val="none"/>
        </w:rPr>
        <w:t>On Kingship</w:t>
      </w:r>
      <w:r w:rsidRPr="00DB0E54">
        <w:rPr>
          <w:rFonts w:eastAsia="Times New Roman" w:cs="Times New Roman"/>
          <w:kern w:val="0"/>
          <w:szCs w:val="24"/>
          <w:lang w:eastAsia="en-AU"/>
          <w14:ligatures w14:val="none"/>
        </w:rPr>
        <w:t xml:space="preserve">, translated by G.B. Phelan (Toronto: Pontifical Institute of Medieval Studies, 1949). For telling criticism, see John of Paris, in </w:t>
      </w:r>
      <w:r w:rsidRPr="00DB0E54">
        <w:rPr>
          <w:rFonts w:eastAsia="Times New Roman" w:cs="Times New Roman"/>
          <w:i/>
          <w:iCs/>
          <w:kern w:val="0"/>
          <w:szCs w:val="24"/>
          <w:lang w:eastAsia="en-AU"/>
          <w14:ligatures w14:val="none"/>
        </w:rPr>
        <w:t>On Royal and Papal Power</w:t>
      </w:r>
      <w:r w:rsidRPr="00DB0E54">
        <w:rPr>
          <w:rFonts w:eastAsia="Times New Roman" w:cs="Times New Roman"/>
          <w:kern w:val="0"/>
          <w:szCs w:val="24"/>
          <w:lang w:eastAsia="en-AU"/>
          <w14:ligatures w14:val="none"/>
        </w:rPr>
        <w:t xml:space="preserve">, translated by J.A. Watt (Toronto: Pontifical Institute of Medieval Studies, 1971), pp. 184-6. For other arguments for papal supremacy (in some sense) over secular government see Giles of Rome, </w:t>
      </w:r>
      <w:r w:rsidRPr="00DB0E54">
        <w:rPr>
          <w:rFonts w:eastAsia="Times New Roman" w:cs="Times New Roman"/>
          <w:i/>
          <w:iCs/>
          <w:kern w:val="0"/>
          <w:szCs w:val="24"/>
          <w:lang w:eastAsia="en-AU"/>
          <w14:ligatures w14:val="none"/>
        </w:rPr>
        <w:t>On Ecclesiastical Power</w:t>
      </w:r>
      <w:r w:rsidRPr="00DB0E54">
        <w:rPr>
          <w:rFonts w:eastAsia="Times New Roman" w:cs="Times New Roman"/>
          <w:kern w:val="0"/>
          <w:szCs w:val="24"/>
          <w:lang w:eastAsia="en-AU"/>
          <w14:ligatures w14:val="none"/>
        </w:rPr>
        <w:t xml:space="preserve">, translated by R.W. Dyson (Woodbridge: The Boydell Press, 1986); James of Viterbo, </w:t>
      </w:r>
      <w:r w:rsidRPr="00DB0E54">
        <w:rPr>
          <w:rFonts w:eastAsia="Times New Roman" w:cs="Times New Roman"/>
          <w:i/>
          <w:iCs/>
          <w:kern w:val="0"/>
          <w:szCs w:val="24"/>
          <w:lang w:eastAsia="en-AU"/>
          <w14:ligatures w14:val="none"/>
        </w:rPr>
        <w:t>On Christian Government</w:t>
      </w:r>
      <w:r w:rsidRPr="00DB0E54">
        <w:rPr>
          <w:rFonts w:eastAsia="Times New Roman" w:cs="Times New Roman"/>
          <w:kern w:val="0"/>
          <w:szCs w:val="24"/>
          <w:lang w:eastAsia="en-AU"/>
          <w14:ligatures w14:val="none"/>
        </w:rPr>
        <w:t xml:space="preserve">, translated by R.W. Dyson (Woodbridge: The Boydell Press, 1995); Brian Tierney, </w:t>
      </w:r>
      <w:r w:rsidRPr="00DB0E54">
        <w:rPr>
          <w:rFonts w:eastAsia="Times New Roman" w:cs="Times New Roman"/>
          <w:i/>
          <w:iCs/>
          <w:kern w:val="0"/>
          <w:szCs w:val="24"/>
          <w:lang w:eastAsia="en-AU"/>
          <w14:ligatures w14:val="none"/>
        </w:rPr>
        <w:t xml:space="preserve">The Crisis of Church and State, 1050-1300 </w:t>
      </w:r>
      <w:r w:rsidRPr="00DB0E54">
        <w:rPr>
          <w:rFonts w:eastAsia="Times New Roman" w:cs="Times New Roman"/>
          <w:kern w:val="0"/>
          <w:szCs w:val="24"/>
          <w:lang w:eastAsia="en-AU"/>
          <w14:ligatures w14:val="none"/>
        </w:rPr>
        <w:t>(Englewood Cliffs: Prentice Hall, 1980), pp. 123-4, 131-8, 143-4, 147-9, 153-7.</w:t>
      </w:r>
    </w:p>
    <w:p w14:paraId="7A84B7F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5" w:name="note37"/>
      <w:bookmarkEnd w:id="35"/>
      <w:r w:rsidRPr="00DB0E54">
        <w:rPr>
          <w:rFonts w:eastAsia="Times New Roman" w:cs="Times New Roman"/>
          <w:b/>
          <w:bCs/>
          <w:kern w:val="0"/>
          <w:szCs w:val="24"/>
          <w:lang w:eastAsia="en-AU"/>
          <w14:ligatures w14:val="none"/>
        </w:rPr>
        <w:t>Note 37</w:t>
      </w:r>
      <w:r w:rsidRPr="00DB0E54">
        <w:rPr>
          <w:rFonts w:eastAsia="Times New Roman" w:cs="Times New Roman"/>
          <w:kern w:val="0"/>
          <w:szCs w:val="24"/>
          <w:lang w:eastAsia="en-AU"/>
          <w14:ligatures w14:val="none"/>
        </w:rPr>
        <w:t xml:space="preserve"> See Pope Gelasius, </w:t>
      </w:r>
      <w:r w:rsidRPr="00DB0E54">
        <w:rPr>
          <w:rFonts w:eastAsia="Times New Roman" w:cs="Times New Roman"/>
          <w:i/>
          <w:iCs/>
          <w:kern w:val="0"/>
          <w:szCs w:val="24"/>
          <w:lang w:eastAsia="en-AU"/>
          <w14:ligatures w14:val="none"/>
        </w:rPr>
        <w:t xml:space="preserve">Duo sunt, </w:t>
      </w:r>
      <w:r w:rsidRPr="00DB0E54">
        <w:rPr>
          <w:rFonts w:eastAsia="Times New Roman" w:cs="Times New Roman"/>
          <w:kern w:val="0"/>
          <w:szCs w:val="24"/>
          <w:lang w:eastAsia="en-AU"/>
          <w14:ligatures w14:val="none"/>
        </w:rPr>
        <w:t xml:space="preserve">translated in Tierney, </w:t>
      </w:r>
      <w:r w:rsidRPr="00DB0E54">
        <w:rPr>
          <w:rFonts w:eastAsia="Times New Roman" w:cs="Times New Roman"/>
          <w:i/>
          <w:iCs/>
          <w:kern w:val="0"/>
          <w:szCs w:val="24"/>
          <w:lang w:eastAsia="en-AU"/>
          <w14:ligatures w14:val="none"/>
        </w:rPr>
        <w:t>Crisis of Church and State</w:t>
      </w:r>
      <w:r w:rsidRPr="00DB0E54">
        <w:rPr>
          <w:rFonts w:eastAsia="Times New Roman" w:cs="Times New Roman"/>
          <w:kern w:val="0"/>
          <w:szCs w:val="24"/>
          <w:lang w:eastAsia="en-AU"/>
          <w14:ligatures w14:val="none"/>
        </w:rPr>
        <w:t>, p. 13.</w:t>
      </w:r>
    </w:p>
    <w:p w14:paraId="5091AE8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6" w:name="note38"/>
      <w:bookmarkEnd w:id="36"/>
      <w:r w:rsidRPr="00DB0E54">
        <w:rPr>
          <w:rFonts w:eastAsia="Times New Roman" w:cs="Times New Roman"/>
          <w:b/>
          <w:bCs/>
          <w:kern w:val="0"/>
          <w:szCs w:val="24"/>
          <w:lang w:eastAsia="en-AU"/>
          <w14:ligatures w14:val="none"/>
        </w:rPr>
        <w:lastRenderedPageBreak/>
        <w:t>Note 38</w:t>
      </w:r>
      <w:r w:rsidRPr="00DB0E54">
        <w:rPr>
          <w:rFonts w:eastAsia="Times New Roman" w:cs="Times New Roman"/>
          <w:kern w:val="0"/>
          <w:szCs w:val="24"/>
          <w:lang w:eastAsia="en-AU"/>
          <w14:ligatures w14:val="none"/>
        </w:rPr>
        <w:t xml:space="preserve"> Ockham's first references to "fullness of power" are in </w:t>
      </w:r>
      <w:r w:rsidRPr="00DB0E54">
        <w:rPr>
          <w:rFonts w:eastAsia="Times New Roman" w:cs="Times New Roman"/>
          <w:i/>
          <w:iCs/>
          <w:kern w:val="0"/>
          <w:szCs w:val="24"/>
          <w:lang w:eastAsia="en-AU"/>
          <w14:ligatures w14:val="none"/>
        </w:rPr>
        <w:t xml:space="preserve">CB, </w:t>
      </w:r>
      <w:r w:rsidRPr="00DB0E54">
        <w:rPr>
          <w:rFonts w:eastAsia="Times New Roman" w:cs="Times New Roman"/>
          <w:kern w:val="0"/>
          <w:szCs w:val="24"/>
          <w:lang w:eastAsia="en-AU"/>
          <w14:ligatures w14:val="none"/>
        </w:rPr>
        <w:t xml:space="preserve">iv.12, vi.2 (pp. 262, 273). It is discussed also in: </w:t>
      </w:r>
      <w:r w:rsidRPr="00DB0E54">
        <w:rPr>
          <w:rFonts w:eastAsia="Times New Roman" w:cs="Times New Roman"/>
          <w:i/>
          <w:iCs/>
          <w:kern w:val="0"/>
          <w:szCs w:val="24"/>
          <w:lang w:eastAsia="en-AU"/>
          <w14:ligatures w14:val="none"/>
        </w:rPr>
        <w:t>Short Treatise</w:t>
      </w:r>
      <w:r w:rsidRPr="00DB0E54">
        <w:rPr>
          <w:rFonts w:eastAsia="Times New Roman" w:cs="Times New Roman"/>
          <w:kern w:val="0"/>
          <w:szCs w:val="24"/>
          <w:lang w:eastAsia="en-AU"/>
          <w14:ligatures w14:val="none"/>
        </w:rPr>
        <w:t xml:space="preserve">, ii;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xml:space="preserve">, i; </w:t>
      </w:r>
      <w:r w:rsidRPr="00DB0E54">
        <w:rPr>
          <w:rFonts w:eastAsia="Times New Roman" w:cs="Times New Roman"/>
          <w:i/>
          <w:iCs/>
          <w:kern w:val="0"/>
          <w:szCs w:val="24"/>
          <w:lang w:eastAsia="en-AU"/>
          <w14:ligatures w14:val="none"/>
        </w:rPr>
        <w:t>An princeps</w:t>
      </w:r>
      <w:r w:rsidRPr="00DB0E54">
        <w:rPr>
          <w:rFonts w:eastAsia="Times New Roman" w:cs="Times New Roman"/>
          <w:kern w:val="0"/>
          <w:szCs w:val="24"/>
          <w:lang w:eastAsia="en-AU"/>
          <w14:ligatures w14:val="none"/>
        </w:rPr>
        <w:t xml:space="preserve">, 1-6; and </w:t>
      </w:r>
      <w:r w:rsidRPr="00DB0E54">
        <w:rPr>
          <w:rFonts w:eastAsia="Times New Roman" w:cs="Times New Roman"/>
          <w:i/>
          <w:iCs/>
          <w:kern w:val="0"/>
          <w:szCs w:val="24"/>
          <w:lang w:eastAsia="en-AU"/>
          <w14:ligatures w14:val="none"/>
        </w:rPr>
        <w:t>De imperatorum et pontificum potestate</w:t>
      </w:r>
      <w:r w:rsidRPr="00DB0E54">
        <w:rPr>
          <w:rFonts w:eastAsia="Times New Roman" w:cs="Times New Roman"/>
          <w:kern w:val="0"/>
          <w:szCs w:val="24"/>
          <w:lang w:eastAsia="en-AU"/>
          <w14:ligatures w14:val="none"/>
        </w:rPr>
        <w:t xml:space="preserve"> (see the extracts in Lewis, </w:t>
      </w:r>
      <w:r w:rsidRPr="00DB0E54">
        <w:rPr>
          <w:rFonts w:eastAsia="Times New Roman" w:cs="Times New Roman"/>
          <w:i/>
          <w:iCs/>
          <w:kern w:val="0"/>
          <w:szCs w:val="24"/>
          <w:lang w:eastAsia="en-AU"/>
          <w14:ligatures w14:val="none"/>
        </w:rPr>
        <w:t>Medieval Political Ideas</w:t>
      </w:r>
      <w:r w:rsidRPr="00DB0E54">
        <w:rPr>
          <w:rFonts w:eastAsia="Times New Roman" w:cs="Times New Roman"/>
          <w:kern w:val="0"/>
          <w:szCs w:val="24"/>
          <w:lang w:eastAsia="en-AU"/>
          <w14:ligatures w14:val="none"/>
        </w:rPr>
        <w:t xml:space="preserve">, pp. 606-615). Marsilius of Padua had also seen the doctrine of "fullness of power" as the main source of the revolutionary encroachments of the papacy on secular government. See Marsilius, </w:t>
      </w:r>
      <w:r w:rsidRPr="00DB0E54">
        <w:rPr>
          <w:rFonts w:eastAsia="Times New Roman" w:cs="Times New Roman"/>
          <w:i/>
          <w:iCs/>
          <w:kern w:val="0"/>
          <w:szCs w:val="24"/>
          <w:lang w:eastAsia="en-AU"/>
          <w14:ligatures w14:val="none"/>
        </w:rPr>
        <w:t>Defensor Pacis</w:t>
      </w:r>
      <w:r w:rsidRPr="00DB0E54">
        <w:rPr>
          <w:rFonts w:eastAsia="Times New Roman" w:cs="Times New Roman"/>
          <w:kern w:val="0"/>
          <w:szCs w:val="24"/>
          <w:lang w:eastAsia="en-AU"/>
          <w14:ligatures w14:val="none"/>
        </w:rPr>
        <w:t>, translated by Alan Gewirth (Toronto: University of Toronto Press, 1980; first edition 1956), pp. 313-364.</w:t>
      </w:r>
    </w:p>
    <w:p w14:paraId="7FE2704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7" w:name="note39"/>
      <w:bookmarkEnd w:id="37"/>
      <w:r w:rsidRPr="00DB0E54">
        <w:rPr>
          <w:rFonts w:eastAsia="Times New Roman" w:cs="Times New Roman"/>
          <w:b/>
          <w:bCs/>
          <w:kern w:val="0"/>
          <w:szCs w:val="24"/>
          <w:lang w:eastAsia="en-AU"/>
          <w14:ligatures w14:val="none"/>
        </w:rPr>
        <w:t>Note 39</w:t>
      </w:r>
      <w:r w:rsidRPr="00DB0E54">
        <w:rPr>
          <w:rFonts w:eastAsia="Times New Roman" w:cs="Times New Roman"/>
          <w:kern w:val="0"/>
          <w:szCs w:val="24"/>
          <w:lang w:eastAsia="en-AU"/>
          <w14:ligatures w14:val="none"/>
        </w:rPr>
        <w:t xml:space="preserve"> Quoted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 20.</w:t>
      </w:r>
    </w:p>
    <w:p w14:paraId="2CFB175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8" w:name="note40"/>
      <w:bookmarkEnd w:id="38"/>
      <w:r w:rsidRPr="00DB0E54">
        <w:rPr>
          <w:rFonts w:eastAsia="Times New Roman" w:cs="Times New Roman"/>
          <w:b/>
          <w:bCs/>
          <w:kern w:val="0"/>
          <w:szCs w:val="24"/>
          <w:lang w:eastAsia="en-AU"/>
          <w14:ligatures w14:val="none"/>
        </w:rPr>
        <w:t>Note 40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 47. For discussion of whether and when it is permitted to make exceptions where the words of the Bible do not mention any exception, see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xml:space="preserve">, ii.23-4,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184-90.</w:t>
      </w:r>
    </w:p>
    <w:p w14:paraId="37BAFE4F"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39" w:name="note41"/>
      <w:bookmarkEnd w:id="39"/>
      <w:r w:rsidRPr="00DB0E54">
        <w:rPr>
          <w:rFonts w:eastAsia="Times New Roman" w:cs="Times New Roman"/>
          <w:b/>
          <w:bCs/>
          <w:kern w:val="0"/>
          <w:szCs w:val="24"/>
          <w:lang w:eastAsia="en-AU"/>
          <w14:ligatures w14:val="none"/>
        </w:rPr>
        <w:t>Note 41</w:t>
      </w:r>
      <w:r w:rsidRPr="00DB0E54">
        <w:rPr>
          <w:rFonts w:eastAsia="Times New Roman" w:cs="Times New Roman"/>
          <w:kern w:val="0"/>
          <w:szCs w:val="24"/>
          <w:lang w:eastAsia="en-AU"/>
          <w14:ligatures w14:val="none"/>
        </w:rPr>
        <w:t xml:space="preserve"> Or, presumably, from one of the other "sources" of Catholic truth.</w:t>
      </w:r>
    </w:p>
    <w:p w14:paraId="1BBADBC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0" w:name="note42"/>
      <w:bookmarkEnd w:id="40"/>
      <w:r w:rsidRPr="00DB0E54">
        <w:rPr>
          <w:rFonts w:eastAsia="Times New Roman" w:cs="Times New Roman"/>
          <w:b/>
          <w:bCs/>
          <w:kern w:val="0"/>
          <w:szCs w:val="24"/>
          <w:lang w:eastAsia="en-AU"/>
          <w14:ligatures w14:val="none"/>
        </w:rPr>
        <w:t>Note 42</w:t>
      </w:r>
      <w:r w:rsidRPr="00DB0E54">
        <w:rPr>
          <w:rFonts w:eastAsia="Times New Roman" w:cs="Times New Roman"/>
          <w:kern w:val="0"/>
          <w:szCs w:val="24"/>
          <w:lang w:eastAsia="en-AU"/>
          <w14:ligatures w14:val="none"/>
        </w:rPr>
        <w:t xml:space="preserve"> For the quotations in this paragraph see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pp. 51, 54, 57.</w:t>
      </w:r>
    </w:p>
    <w:p w14:paraId="6A8EABF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1" w:name="note43"/>
      <w:bookmarkEnd w:id="41"/>
      <w:r w:rsidRPr="00DB0E54">
        <w:rPr>
          <w:rFonts w:eastAsia="Times New Roman" w:cs="Times New Roman"/>
          <w:b/>
          <w:bCs/>
          <w:kern w:val="0"/>
          <w:szCs w:val="24"/>
          <w:lang w:eastAsia="en-AU"/>
          <w14:ligatures w14:val="none"/>
        </w:rPr>
        <w:t>Note 43</w:t>
      </w:r>
      <w:r w:rsidRPr="00DB0E54">
        <w:rPr>
          <w:rFonts w:eastAsia="Times New Roman" w:cs="Times New Roman"/>
          <w:kern w:val="0"/>
          <w:szCs w:val="24"/>
          <w:lang w:eastAsia="en-AU"/>
          <w14:ligatures w14:val="none"/>
        </w:rPr>
        <w:t xml:space="preserve"> For this distinction see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pp. 112-3. See C.C. Bayley, "Pivotal Concepts in the Political Philosophy of William of Ockham", </w:t>
      </w:r>
      <w:r w:rsidRPr="00DB0E54">
        <w:rPr>
          <w:rFonts w:eastAsia="Times New Roman" w:cs="Times New Roman"/>
          <w:i/>
          <w:iCs/>
          <w:kern w:val="0"/>
          <w:szCs w:val="24"/>
          <w:lang w:eastAsia="en-AU"/>
          <w14:ligatures w14:val="none"/>
        </w:rPr>
        <w:t>Journal of the History of Ideas</w:t>
      </w:r>
      <w:r w:rsidRPr="00DB0E54">
        <w:rPr>
          <w:rFonts w:eastAsia="Times New Roman" w:cs="Times New Roman"/>
          <w:kern w:val="0"/>
          <w:szCs w:val="24"/>
          <w:lang w:eastAsia="en-AU"/>
          <w14:ligatures w14:val="none"/>
        </w:rPr>
        <w:t>, 10 (1949), pp. 199-218; Bayley relates it to the traditional concepts of equity (in the Aristotelian sense-setting aside the letter of the law for the sake of its purpose), the common good, and necessity ("What is not licit by the law, necessity makes licit").</w:t>
      </w:r>
    </w:p>
    <w:p w14:paraId="7E685641"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2" w:name="note44"/>
      <w:bookmarkEnd w:id="42"/>
      <w:r w:rsidRPr="00DB0E54">
        <w:rPr>
          <w:rFonts w:eastAsia="Times New Roman" w:cs="Times New Roman"/>
          <w:b/>
          <w:bCs/>
          <w:kern w:val="0"/>
          <w:szCs w:val="24"/>
          <w:lang w:eastAsia="en-AU"/>
          <w14:ligatures w14:val="none"/>
        </w:rPr>
        <w:t>Note 44</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 12, n. 30, and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66.</w:t>
      </w:r>
    </w:p>
    <w:p w14:paraId="03C203E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3" w:name="note45"/>
      <w:bookmarkEnd w:id="43"/>
      <w:r w:rsidRPr="00DB0E54">
        <w:rPr>
          <w:rFonts w:eastAsia="Times New Roman" w:cs="Times New Roman"/>
          <w:b/>
          <w:bCs/>
          <w:kern w:val="0"/>
          <w:szCs w:val="24"/>
          <w:lang w:eastAsia="en-AU"/>
          <w14:ligatures w14:val="none"/>
        </w:rPr>
        <w:t>Note 45</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xml:space="preserve">, i.16. See also 17. For other passages in which Ockham tries to sum up, see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pp. 62-3 (including notes), and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i.7.30-87 (pp. 35-6).</w:t>
      </w:r>
    </w:p>
    <w:p w14:paraId="451CC4B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4" w:name="note46"/>
      <w:bookmarkEnd w:id="44"/>
      <w:r w:rsidRPr="00DB0E54">
        <w:rPr>
          <w:rFonts w:eastAsia="Times New Roman" w:cs="Times New Roman"/>
          <w:b/>
          <w:bCs/>
          <w:kern w:val="0"/>
          <w:szCs w:val="24"/>
          <w:lang w:eastAsia="en-AU"/>
          <w14:ligatures w14:val="none"/>
        </w:rPr>
        <w:t>Note 46</w:t>
      </w:r>
      <w:r w:rsidRPr="00DB0E54">
        <w:rPr>
          <w:rFonts w:eastAsia="Times New Roman" w:cs="Times New Roman"/>
          <w:kern w:val="0"/>
          <w:szCs w:val="24"/>
          <w:lang w:eastAsia="en-AU"/>
          <w14:ligatures w14:val="none"/>
        </w:rPr>
        <w:t xml:space="preserve"> Marsilius, </w:t>
      </w:r>
      <w:r w:rsidRPr="00DB0E54">
        <w:rPr>
          <w:rFonts w:eastAsia="Times New Roman" w:cs="Times New Roman"/>
          <w:i/>
          <w:iCs/>
          <w:kern w:val="0"/>
          <w:szCs w:val="24"/>
          <w:lang w:eastAsia="en-AU"/>
          <w14:ligatures w14:val="none"/>
        </w:rPr>
        <w:t>Defensor Pacis,</w:t>
      </w:r>
      <w:r w:rsidRPr="00DB0E54">
        <w:rPr>
          <w:rFonts w:eastAsia="Times New Roman" w:cs="Times New Roman"/>
          <w:kern w:val="0"/>
          <w:szCs w:val="24"/>
          <w:lang w:eastAsia="en-AU"/>
          <w14:ligatures w14:val="none"/>
        </w:rPr>
        <w:t xml:space="preserve"> II.xv, xvi (p. 233 ff).</w:t>
      </w:r>
    </w:p>
    <w:p w14:paraId="7BB31D08"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5" w:name="note47"/>
      <w:bookmarkEnd w:id="45"/>
      <w:r w:rsidRPr="00DB0E54">
        <w:rPr>
          <w:rFonts w:eastAsia="Times New Roman" w:cs="Times New Roman"/>
          <w:b/>
          <w:bCs/>
          <w:kern w:val="0"/>
          <w:szCs w:val="24"/>
          <w:lang w:eastAsia="en-AU"/>
          <w14:ligatures w14:val="none"/>
        </w:rPr>
        <w:t>Note 47</w:t>
      </w:r>
      <w:r w:rsidRPr="00DB0E54">
        <w:rPr>
          <w:rFonts w:eastAsia="Times New Roman" w:cs="Times New Roman"/>
          <w:kern w:val="0"/>
          <w:szCs w:val="24"/>
          <w:lang w:eastAsia="en-AU"/>
          <w14:ligatures w14:val="none"/>
        </w:rPr>
        <w:t xml:space="preserve"> Ockham seems to have been moved to write Tract I partly because he had obtained a copy </w:t>
      </w:r>
      <w:r w:rsidRPr="00DB0E54">
        <w:rPr>
          <w:rFonts w:eastAsia="Times New Roman" w:cs="Times New Roman"/>
          <w:kern w:val="0"/>
          <w:szCs w:val="24"/>
          <w:lang w:eastAsia="en-AU"/>
          <w14:ligatures w14:val="none"/>
        </w:rPr>
        <w:lastRenderedPageBreak/>
        <w:t xml:space="preserve">of Marsilius' book, to which he had not previously had access;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iii.1.</w:t>
      </w:r>
    </w:p>
    <w:p w14:paraId="216DAE7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6" w:name="note48"/>
      <w:bookmarkEnd w:id="46"/>
      <w:r w:rsidRPr="00DB0E54">
        <w:rPr>
          <w:rFonts w:eastAsia="Times New Roman" w:cs="Times New Roman"/>
          <w:b/>
          <w:bCs/>
          <w:kern w:val="0"/>
          <w:szCs w:val="24"/>
          <w:lang w:eastAsia="en-AU"/>
          <w14:ligatures w14:val="none"/>
        </w:rPr>
        <w:t>Note 48</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121-7, 143-8.</w:t>
      </w:r>
    </w:p>
    <w:p w14:paraId="07CB277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7" w:name="note49"/>
      <w:bookmarkEnd w:id="47"/>
      <w:r w:rsidRPr="00DB0E54">
        <w:rPr>
          <w:rFonts w:eastAsia="Times New Roman" w:cs="Times New Roman"/>
          <w:b/>
          <w:bCs/>
          <w:kern w:val="0"/>
          <w:szCs w:val="24"/>
          <w:lang w:eastAsia="en-AU"/>
          <w14:ligatures w14:val="none"/>
        </w:rPr>
        <w:t>Note 49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164-5. The discussion is not about a monarch succeeding by inheritance (which Ockham regarded as an inferior mode of succession), but about a monarch elected for life.</w:t>
      </w:r>
    </w:p>
    <w:p w14:paraId="17B582A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8" w:name="note50"/>
      <w:bookmarkEnd w:id="48"/>
      <w:r w:rsidRPr="00DB0E54">
        <w:rPr>
          <w:rFonts w:eastAsia="Times New Roman" w:cs="Times New Roman"/>
          <w:b/>
          <w:bCs/>
          <w:kern w:val="0"/>
          <w:szCs w:val="24"/>
          <w:lang w:eastAsia="en-AU"/>
          <w14:ligatures w14:val="none"/>
        </w:rPr>
        <w:t>Note 50</w:t>
      </w:r>
      <w:r w:rsidRPr="00DB0E54">
        <w:rPr>
          <w:rFonts w:eastAsia="Times New Roman" w:cs="Times New Roman"/>
          <w:kern w:val="0"/>
          <w:szCs w:val="24"/>
          <w:lang w:eastAsia="en-AU"/>
          <w14:ligatures w14:val="none"/>
        </w:rPr>
        <w:t xml:space="preserve"> Although this Book contains an exposition of Aristotle's political thought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ii.3-8), one of its chief purposes is to counter Aristotle's practical opposition to monarchy. Aristotle echoes Plato's preference for monarchy, but with a qualification that makes the preference merely academic, namely that the monarch must be clearly superior to all his subjects.</w:t>
      </w:r>
    </w:p>
    <w:p w14:paraId="29612D23"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49" w:name="note51"/>
      <w:bookmarkEnd w:id="49"/>
      <w:r w:rsidRPr="00DB0E54">
        <w:rPr>
          <w:rFonts w:eastAsia="Times New Roman" w:cs="Times New Roman"/>
          <w:b/>
          <w:bCs/>
          <w:kern w:val="0"/>
          <w:szCs w:val="24"/>
          <w:lang w:eastAsia="en-AU"/>
          <w14:ligatures w14:val="none"/>
        </w:rPr>
        <w:t>Note 51</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158-64.</w:t>
      </w:r>
    </w:p>
    <w:p w14:paraId="100D589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0" w:name="note52"/>
      <w:bookmarkEnd w:id="50"/>
      <w:r w:rsidRPr="00DB0E54">
        <w:rPr>
          <w:rFonts w:eastAsia="Times New Roman" w:cs="Times New Roman"/>
          <w:b/>
          <w:bCs/>
          <w:kern w:val="0"/>
          <w:szCs w:val="24"/>
          <w:lang w:eastAsia="en-AU"/>
          <w14:ligatures w14:val="none"/>
        </w:rPr>
        <w:t>Note 52</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165-70, 268-9, 274-5. The ruler will need to be wise enough to know when he needs advice and where to get it, and good enough to take it.</w:t>
      </w:r>
    </w:p>
    <w:p w14:paraId="6B0CF15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1" w:name="note53"/>
      <w:bookmarkEnd w:id="51"/>
      <w:r w:rsidRPr="00DB0E54">
        <w:rPr>
          <w:rFonts w:eastAsia="Times New Roman" w:cs="Times New Roman"/>
          <w:b/>
          <w:bCs/>
          <w:kern w:val="0"/>
          <w:szCs w:val="24"/>
          <w:lang w:eastAsia="en-AU"/>
          <w14:ligatures w14:val="none"/>
        </w:rPr>
        <w:t>Note 53</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pp. 176-90. A command by Christ is an item of divine positive law. No exception can be made to </w:t>
      </w:r>
      <w:r w:rsidRPr="00DB0E54">
        <w:rPr>
          <w:rFonts w:eastAsia="Times New Roman" w:cs="Times New Roman"/>
          <w:i/>
          <w:iCs/>
          <w:kern w:val="0"/>
          <w:szCs w:val="24"/>
          <w:lang w:eastAsia="en-AU"/>
          <w14:ligatures w14:val="none"/>
        </w:rPr>
        <w:t xml:space="preserve">natural </w:t>
      </w:r>
      <w:r w:rsidRPr="00DB0E54">
        <w:rPr>
          <w:rFonts w:eastAsia="Times New Roman" w:cs="Times New Roman"/>
          <w:kern w:val="0"/>
          <w:szCs w:val="24"/>
          <w:lang w:eastAsia="en-AU"/>
          <w14:ligatures w14:val="none"/>
        </w:rPr>
        <w:t>law except when God explicitly commands it (p. 177). The fact that God can command exceptions to natural laws does not imply that they hold (when they do hold) by virtue of a divine command, or that the exceptions could become the rule. For discussion of these issues see McGrade, "Natural Law and Moral Omnipotence", in this volume.</w:t>
      </w:r>
    </w:p>
    <w:p w14:paraId="6A92CDC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2" w:name="note54"/>
      <w:bookmarkEnd w:id="52"/>
      <w:r w:rsidRPr="00DB0E54">
        <w:rPr>
          <w:rFonts w:eastAsia="Times New Roman" w:cs="Times New Roman"/>
          <w:b/>
          <w:bCs/>
          <w:kern w:val="0"/>
          <w:szCs w:val="24"/>
          <w:lang w:eastAsia="en-AU"/>
          <w14:ligatures w14:val="none"/>
        </w:rPr>
        <w:t>Note 54</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pp. 195-203, 256-7 (the election of a pope "could licitly be deferred for a hundred years, or two hundred, or more");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xml:space="preserve">, iv.24. In the seventeenth century some Anglicans argued that, although episcopacy was of divine right, by reason of necessity a church might live for a time without bishops; see Norman Sykes, </w:t>
      </w:r>
      <w:r w:rsidRPr="00DB0E54">
        <w:rPr>
          <w:rFonts w:eastAsia="Times New Roman" w:cs="Times New Roman"/>
          <w:i/>
          <w:iCs/>
          <w:kern w:val="0"/>
          <w:szCs w:val="24"/>
          <w:lang w:eastAsia="en-AU"/>
          <w14:ligatures w14:val="none"/>
        </w:rPr>
        <w:t xml:space="preserve">Old Priest and New Presbyter </w:t>
      </w:r>
      <w:r w:rsidRPr="00DB0E54">
        <w:rPr>
          <w:rFonts w:eastAsia="Times New Roman" w:cs="Times New Roman"/>
          <w:kern w:val="0"/>
          <w:szCs w:val="24"/>
          <w:lang w:eastAsia="en-AU"/>
          <w14:ligatures w14:val="none"/>
        </w:rPr>
        <w:t>(Cambridge: University Press, 1957), p. 69 ff.</w:t>
      </w:r>
    </w:p>
    <w:p w14:paraId="1CED0FD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3" w:name="note55"/>
      <w:bookmarkEnd w:id="53"/>
      <w:r w:rsidRPr="00DB0E54">
        <w:rPr>
          <w:rFonts w:eastAsia="Times New Roman" w:cs="Times New Roman"/>
          <w:b/>
          <w:bCs/>
          <w:kern w:val="0"/>
          <w:szCs w:val="24"/>
          <w:lang w:eastAsia="en-AU"/>
          <w14:ligatures w14:val="none"/>
        </w:rPr>
        <w:t>Note 55</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Defensor Pacis</w:t>
      </w:r>
      <w:r w:rsidRPr="00DB0E54">
        <w:rPr>
          <w:rFonts w:eastAsia="Times New Roman" w:cs="Times New Roman"/>
          <w:kern w:val="0"/>
          <w:szCs w:val="24"/>
          <w:lang w:eastAsia="en-AU"/>
          <w14:ligatures w14:val="none"/>
        </w:rPr>
        <w:t>, II.xix (p. 274 ff).</w:t>
      </w:r>
    </w:p>
    <w:p w14:paraId="4D85FFC0"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4" w:name="note56"/>
      <w:bookmarkEnd w:id="54"/>
      <w:r w:rsidRPr="00DB0E54">
        <w:rPr>
          <w:rFonts w:eastAsia="Times New Roman" w:cs="Times New Roman"/>
          <w:b/>
          <w:bCs/>
          <w:kern w:val="0"/>
          <w:szCs w:val="24"/>
          <w:lang w:eastAsia="en-AU"/>
          <w14:ligatures w14:val="none"/>
        </w:rPr>
        <w:lastRenderedPageBreak/>
        <w:t>Note 56</w:t>
      </w:r>
      <w:r w:rsidRPr="00DB0E54">
        <w:rPr>
          <w:rFonts w:eastAsia="Times New Roman" w:cs="Times New Roman"/>
          <w:kern w:val="0"/>
          <w:szCs w:val="24"/>
          <w:lang w:eastAsia="en-AU"/>
          <w14:ligatures w14:val="none"/>
        </w:rPr>
        <w:t xml:space="preserve"> For Ockham's opinion see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iii.4-7, 22-26, and iv.13, 14, 22.</w:t>
      </w:r>
    </w:p>
    <w:p w14:paraId="28B1559F"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5" w:name="note57"/>
      <w:bookmarkEnd w:id="55"/>
      <w:r w:rsidRPr="00DB0E54">
        <w:rPr>
          <w:rFonts w:eastAsia="Times New Roman" w:cs="Times New Roman"/>
          <w:b/>
          <w:bCs/>
          <w:kern w:val="0"/>
          <w:szCs w:val="24"/>
          <w:lang w:eastAsia="en-AU"/>
          <w14:ligatures w14:val="none"/>
        </w:rPr>
        <w:t>Note 57</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III-1 Dial.</w:t>
      </w:r>
      <w:r w:rsidRPr="00DB0E54">
        <w:rPr>
          <w:rFonts w:eastAsia="Times New Roman" w:cs="Times New Roman"/>
          <w:kern w:val="0"/>
          <w:szCs w:val="24"/>
          <w:lang w:eastAsia="en-AU"/>
          <w14:ligatures w14:val="none"/>
        </w:rPr>
        <w:t>, iv.13-17, 22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226-29).</w:t>
      </w:r>
    </w:p>
    <w:p w14:paraId="362E8BA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6" w:name="note58"/>
      <w:bookmarkEnd w:id="56"/>
      <w:r w:rsidRPr="00DB0E54">
        <w:rPr>
          <w:rFonts w:eastAsia="Times New Roman" w:cs="Times New Roman"/>
          <w:b/>
          <w:bCs/>
          <w:kern w:val="0"/>
          <w:szCs w:val="24"/>
          <w:lang w:eastAsia="en-AU"/>
          <w14:ligatures w14:val="none"/>
        </w:rPr>
        <w:t>Note 58</w:t>
      </w:r>
      <w:r w:rsidRPr="00DB0E54">
        <w:rPr>
          <w:rFonts w:eastAsia="Times New Roman" w:cs="Times New Roman"/>
          <w:kern w:val="0"/>
          <w:szCs w:val="24"/>
          <w:lang w:eastAsia="en-AU"/>
          <w14:ligatures w14:val="none"/>
        </w:rPr>
        <w:t xml:space="preserve"> What Ockham called the "Roman Empire" was later called "The Holy Roman Empire of the German People"; it lasted until Napoleon. Constantine transferred the capital of the Roman Empire to Constantinople, Pope Leo III transferred the Empire from the Greeks to Charlemagne; it was then transferred to the Germans. The kingdoms of Spain, France and England did not recognise its authority; the spokesman for the Empire claimed that their independence was </w:t>
      </w:r>
      <w:r w:rsidRPr="00DB0E54">
        <w:rPr>
          <w:rFonts w:eastAsia="Times New Roman" w:cs="Times New Roman"/>
          <w:i/>
          <w:iCs/>
          <w:kern w:val="0"/>
          <w:szCs w:val="24"/>
          <w:lang w:eastAsia="en-AU"/>
          <w14:ligatures w14:val="none"/>
        </w:rPr>
        <w:t>de facto</w:t>
      </w:r>
      <w:r w:rsidRPr="00DB0E54">
        <w:rPr>
          <w:rFonts w:eastAsia="Times New Roman" w:cs="Times New Roman"/>
          <w:kern w:val="0"/>
          <w:szCs w:val="24"/>
          <w:lang w:eastAsia="en-AU"/>
          <w14:ligatures w14:val="none"/>
        </w:rPr>
        <w:t xml:space="preserve">, not </w:t>
      </w:r>
      <w:r w:rsidRPr="00DB0E54">
        <w:rPr>
          <w:rFonts w:eastAsia="Times New Roman" w:cs="Times New Roman"/>
          <w:i/>
          <w:iCs/>
          <w:kern w:val="0"/>
          <w:szCs w:val="24"/>
          <w:lang w:eastAsia="en-AU"/>
          <w14:ligatures w14:val="none"/>
        </w:rPr>
        <w:t>de iure</w:t>
      </w:r>
      <w:r w:rsidRPr="00DB0E54">
        <w:rPr>
          <w:rFonts w:eastAsia="Times New Roman" w:cs="Times New Roman"/>
          <w:kern w:val="0"/>
          <w:szCs w:val="24"/>
          <w:lang w:eastAsia="en-AU"/>
          <w14:ligatures w14:val="none"/>
        </w:rPr>
        <w:t>. Like the pope, the Emperor was an elective monarch for life; the cardinals elected the pope, the German Princes Electors elected the Emperor.</w:t>
      </w:r>
    </w:p>
    <w:p w14:paraId="32B160A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7" w:name="note59"/>
      <w:bookmarkEnd w:id="57"/>
      <w:r w:rsidRPr="00DB0E54">
        <w:rPr>
          <w:rFonts w:eastAsia="Times New Roman" w:cs="Times New Roman"/>
          <w:b/>
          <w:bCs/>
          <w:kern w:val="0"/>
          <w:szCs w:val="24"/>
          <w:lang w:eastAsia="en-AU"/>
          <w14:ligatures w14:val="none"/>
        </w:rPr>
        <w:t>Note 59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237-45.</w:t>
      </w:r>
    </w:p>
    <w:p w14:paraId="59D6140D"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8" w:name="note60"/>
      <w:bookmarkEnd w:id="58"/>
      <w:r w:rsidRPr="00DB0E54">
        <w:rPr>
          <w:rFonts w:eastAsia="Times New Roman" w:cs="Times New Roman"/>
          <w:b/>
          <w:bCs/>
          <w:kern w:val="0"/>
          <w:szCs w:val="24"/>
          <w:lang w:eastAsia="en-AU"/>
          <w14:ligatures w14:val="none"/>
        </w:rPr>
        <w:t>Note 60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268-9.</w:t>
      </w:r>
    </w:p>
    <w:p w14:paraId="04CC1CB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59" w:name="note61"/>
      <w:bookmarkEnd w:id="59"/>
      <w:r w:rsidRPr="00DB0E54">
        <w:rPr>
          <w:rFonts w:eastAsia="Times New Roman" w:cs="Times New Roman"/>
          <w:b/>
          <w:bCs/>
          <w:kern w:val="0"/>
          <w:szCs w:val="24"/>
          <w:lang w:eastAsia="en-AU"/>
          <w14:ligatures w14:val="none"/>
        </w:rPr>
        <w:t>Note 61</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250-61.</w:t>
      </w:r>
    </w:p>
    <w:p w14:paraId="2575E10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0" w:name="note62"/>
      <w:bookmarkEnd w:id="60"/>
      <w:r w:rsidRPr="00DB0E54">
        <w:rPr>
          <w:rFonts w:eastAsia="Times New Roman" w:cs="Times New Roman"/>
          <w:b/>
          <w:bCs/>
          <w:kern w:val="0"/>
          <w:szCs w:val="24"/>
          <w:lang w:eastAsia="en-AU"/>
          <w14:ligatures w14:val="none"/>
        </w:rPr>
        <w:t>Note 62</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 257;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iii.11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 323), viii.4.210-7 (p. 193);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i.31.</w:t>
      </w:r>
    </w:p>
    <w:p w14:paraId="3646E03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1" w:name="note63"/>
      <w:bookmarkEnd w:id="61"/>
      <w:r w:rsidRPr="00DB0E54">
        <w:rPr>
          <w:rFonts w:eastAsia="Times New Roman" w:cs="Times New Roman"/>
          <w:b/>
          <w:bCs/>
          <w:kern w:val="0"/>
          <w:szCs w:val="24"/>
          <w:lang w:eastAsia="en-AU"/>
          <w14:ligatures w14:val="none"/>
        </w:rPr>
        <w:t>Note 63</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iii.9-12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320-6); viii.4.237-244 (p. 194).</w:t>
      </w:r>
    </w:p>
    <w:p w14:paraId="5814CF4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2" w:name="note64"/>
      <w:bookmarkEnd w:id="62"/>
      <w:r w:rsidRPr="00DB0E54">
        <w:rPr>
          <w:rFonts w:eastAsia="Times New Roman" w:cs="Times New Roman"/>
          <w:b/>
          <w:bCs/>
          <w:kern w:val="0"/>
          <w:szCs w:val="24"/>
          <w:lang w:eastAsia="en-AU"/>
          <w14:ligatures w14:val="none"/>
        </w:rPr>
        <w:t>Note 64</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iv.4.115-23 (p. 133); viii.4. 276-84 (p. 195).</w:t>
      </w:r>
    </w:p>
    <w:p w14:paraId="31600E0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3" w:name="note65"/>
      <w:bookmarkEnd w:id="63"/>
      <w:r w:rsidRPr="00DB0E54">
        <w:rPr>
          <w:rFonts w:eastAsia="Times New Roman" w:cs="Times New Roman"/>
          <w:b/>
          <w:bCs/>
          <w:kern w:val="0"/>
          <w:szCs w:val="24"/>
          <w:lang w:eastAsia="en-AU"/>
          <w14:ligatures w14:val="none"/>
        </w:rPr>
        <w:t>Note 65</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iii.3.34-39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310, last paragraph).</w:t>
      </w:r>
    </w:p>
    <w:p w14:paraId="4D076129"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4" w:name="note66"/>
      <w:bookmarkEnd w:id="64"/>
      <w:r w:rsidRPr="00DB0E54">
        <w:rPr>
          <w:rFonts w:eastAsia="Times New Roman" w:cs="Times New Roman"/>
          <w:b/>
          <w:bCs/>
          <w:kern w:val="0"/>
          <w:szCs w:val="24"/>
          <w:lang w:eastAsia="en-AU"/>
          <w14:ligatures w14:val="none"/>
        </w:rPr>
        <w:t>Note 66</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Defensor Pacis</w:t>
      </w:r>
      <w:r w:rsidRPr="00DB0E54">
        <w:rPr>
          <w:rFonts w:eastAsia="Times New Roman" w:cs="Times New Roman"/>
          <w:kern w:val="0"/>
          <w:szCs w:val="24"/>
          <w:lang w:eastAsia="en-AU"/>
          <w14:ligatures w14:val="none"/>
        </w:rPr>
        <w:t>, II.xvii, p. 80 ff.</w:t>
      </w:r>
    </w:p>
    <w:p w14:paraId="2F273F55"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5" w:name="note67"/>
      <w:bookmarkEnd w:id="65"/>
      <w:r w:rsidRPr="00DB0E54">
        <w:rPr>
          <w:rFonts w:eastAsia="Times New Roman" w:cs="Times New Roman"/>
          <w:b/>
          <w:bCs/>
          <w:kern w:val="0"/>
          <w:szCs w:val="24"/>
          <w:lang w:eastAsia="en-AU"/>
          <w14:ligatures w14:val="none"/>
        </w:rPr>
        <w:t>Note 67</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 124;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202.</w:t>
      </w:r>
    </w:p>
    <w:p w14:paraId="0FB566C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6" w:name="note68"/>
      <w:bookmarkEnd w:id="66"/>
      <w:r w:rsidRPr="00DB0E54">
        <w:rPr>
          <w:rFonts w:eastAsia="Times New Roman" w:cs="Times New Roman"/>
          <w:b/>
          <w:bCs/>
          <w:kern w:val="0"/>
          <w:szCs w:val="24"/>
          <w:lang w:eastAsia="en-AU"/>
          <w14:ligatures w14:val="none"/>
        </w:rPr>
        <w:t>Note 68</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book III, p. 71 ff.</w:t>
      </w:r>
    </w:p>
    <w:p w14:paraId="3D341A3C"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7" w:name="note69"/>
      <w:bookmarkEnd w:id="67"/>
      <w:r w:rsidRPr="00DB0E54">
        <w:rPr>
          <w:rFonts w:eastAsia="Times New Roman" w:cs="Times New Roman"/>
          <w:b/>
          <w:bCs/>
          <w:kern w:val="0"/>
          <w:szCs w:val="24"/>
          <w:lang w:eastAsia="en-AU"/>
          <w14:ligatures w14:val="none"/>
        </w:rPr>
        <w:t>Note 69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pp.121-2.</w:t>
      </w:r>
    </w:p>
    <w:p w14:paraId="12DF5002"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8" w:name="note70"/>
      <w:bookmarkEnd w:id="68"/>
      <w:r w:rsidRPr="00DB0E54">
        <w:rPr>
          <w:rFonts w:eastAsia="Times New Roman" w:cs="Times New Roman"/>
          <w:b/>
          <w:bCs/>
          <w:kern w:val="0"/>
          <w:szCs w:val="24"/>
          <w:lang w:eastAsia="en-AU"/>
          <w14:ligatures w14:val="none"/>
        </w:rPr>
        <w:t>Note 70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pp. 77-81, 123.</w:t>
      </w:r>
    </w:p>
    <w:p w14:paraId="1C0D18E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69" w:name="note71"/>
      <w:bookmarkEnd w:id="69"/>
      <w:r w:rsidRPr="00DB0E54">
        <w:rPr>
          <w:rFonts w:eastAsia="Times New Roman" w:cs="Times New Roman"/>
          <w:b/>
          <w:bCs/>
          <w:kern w:val="0"/>
          <w:szCs w:val="24"/>
          <w:lang w:eastAsia="en-AU"/>
          <w14:ligatures w14:val="none"/>
        </w:rPr>
        <w:t>Note 71</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pp. 123-5. The consent of a majority would have been sufficient: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xml:space="preserve">, i.27, </w:t>
      </w:r>
      <w:r w:rsidRPr="00DB0E54">
        <w:rPr>
          <w:rFonts w:eastAsia="Times New Roman" w:cs="Times New Roman"/>
          <w:kern w:val="0"/>
          <w:szCs w:val="24"/>
          <w:lang w:eastAsia="en-AU"/>
          <w14:ligatures w14:val="none"/>
        </w:rPr>
        <w:lastRenderedPageBreak/>
        <w:t xml:space="preserve">Master's third speech. In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Ockham mentions just war as a way of legitimating empire, but see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iv.4.63-95 (pp. 132-3).</w:t>
      </w:r>
    </w:p>
    <w:p w14:paraId="3D80DD90"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0" w:name="note72"/>
      <w:bookmarkEnd w:id="70"/>
      <w:r w:rsidRPr="00DB0E54">
        <w:rPr>
          <w:rFonts w:eastAsia="Times New Roman" w:cs="Times New Roman"/>
          <w:b/>
          <w:bCs/>
          <w:kern w:val="0"/>
          <w:szCs w:val="24"/>
          <w:lang w:eastAsia="en-AU"/>
          <w14:ligatures w14:val="none"/>
        </w:rPr>
        <w:t>Note 72</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 128;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i.29 (Master's last speech), ii.5.</w:t>
      </w:r>
    </w:p>
    <w:p w14:paraId="13C0A506"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1" w:name="note73"/>
      <w:bookmarkEnd w:id="71"/>
      <w:r w:rsidRPr="00DB0E54">
        <w:rPr>
          <w:rFonts w:eastAsia="Times New Roman" w:cs="Times New Roman"/>
          <w:b/>
          <w:bCs/>
          <w:kern w:val="0"/>
          <w:szCs w:val="24"/>
          <w:lang w:eastAsia="en-AU"/>
          <w14:ligatures w14:val="none"/>
        </w:rPr>
        <w:t>Note 73</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iv.6.161-95 (pp. 140-1), iv.7.8-17 (p. 143), iv.9.50-66 (p. 148), viii.4.218-36 (pp. 194-5). The electoral princes represent the Romans: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pp. 159-60.</w:t>
      </w:r>
    </w:p>
    <w:p w14:paraId="60878423"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2" w:name="note74"/>
      <w:bookmarkEnd w:id="72"/>
      <w:r w:rsidRPr="00DB0E54">
        <w:rPr>
          <w:rFonts w:eastAsia="Times New Roman" w:cs="Times New Roman"/>
          <w:b/>
          <w:bCs/>
          <w:kern w:val="0"/>
          <w:szCs w:val="24"/>
          <w:lang w:eastAsia="en-AU"/>
          <w14:ligatures w14:val="none"/>
        </w:rPr>
        <w:t>Note 74</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xml:space="preserve">, ii.29;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iv.10 (pp. 152-4), v.6 (pp. 158-60); </w:t>
      </w:r>
      <w:r w:rsidRPr="00DB0E54">
        <w:rPr>
          <w:rFonts w:eastAsia="Times New Roman" w:cs="Times New Roman"/>
          <w:i/>
          <w:iCs/>
          <w:kern w:val="0"/>
          <w:szCs w:val="24"/>
          <w:lang w:eastAsia="en-AU"/>
          <w14:ligatures w14:val="none"/>
        </w:rPr>
        <w:t>CB</w:t>
      </w:r>
      <w:r w:rsidRPr="00DB0E54">
        <w:rPr>
          <w:rFonts w:eastAsia="Times New Roman" w:cs="Times New Roman"/>
          <w:kern w:val="0"/>
          <w:szCs w:val="24"/>
          <w:lang w:eastAsia="en-AU"/>
          <w14:ligatures w14:val="none"/>
        </w:rPr>
        <w:t>, vi.6 (p. 283, line 35-p. 284, line 5).</w:t>
      </w:r>
    </w:p>
    <w:p w14:paraId="49E50BF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3" w:name="note75"/>
      <w:bookmarkEnd w:id="73"/>
      <w:r w:rsidRPr="00DB0E54">
        <w:rPr>
          <w:rFonts w:eastAsia="Times New Roman" w:cs="Times New Roman"/>
          <w:b/>
          <w:bCs/>
          <w:kern w:val="0"/>
          <w:szCs w:val="24"/>
          <w:lang w:eastAsia="en-AU"/>
          <w14:ligatures w14:val="none"/>
        </w:rPr>
        <w:t>Note 75</w:t>
      </w:r>
      <w:r w:rsidRPr="00DB0E54">
        <w:rPr>
          <w:rFonts w:eastAsia="Times New Roman" w:cs="Times New Roman"/>
          <w:kern w:val="0"/>
          <w:szCs w:val="24"/>
          <w:lang w:eastAsia="en-AU"/>
          <w14:ligatures w14:val="none"/>
        </w:rPr>
        <w:t xml:space="preserve"> See </w:t>
      </w:r>
      <w:r w:rsidRPr="00DB0E54">
        <w:rPr>
          <w:rFonts w:eastAsia="Times New Roman" w:cs="Times New Roman"/>
          <w:i/>
          <w:iCs/>
          <w:kern w:val="0"/>
          <w:szCs w:val="24"/>
          <w:lang w:eastAsia="en-AU"/>
          <w14:ligatures w14:val="none"/>
        </w:rPr>
        <w:t>CB</w:t>
      </w:r>
      <w:r w:rsidRPr="00DB0E54">
        <w:rPr>
          <w:rFonts w:eastAsia="Times New Roman" w:cs="Times New Roman"/>
          <w:kern w:val="0"/>
          <w:szCs w:val="24"/>
          <w:lang w:eastAsia="en-AU"/>
          <w14:ligatures w14:val="none"/>
        </w:rPr>
        <w:t xml:space="preserve">, vi.2, 5 (pp. 273, 277);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ii;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iv and v;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i.18-25, 28. Ockham also criticises the views of Lupold of Bebenburg, who attempted a compromise between the papal view and the view of the German princes. According to Lupold, election makes the elect "King of the Romans" as successor to Charlemagne with immediate administrative power in the lands that belonged to Charlemagne before Pope Leo crowned him Emperor, but to have legitimate power in the other lands he needs to be crowned by the pope. For Ockham's rejection of this compromise see</w:t>
      </w:r>
      <w:r w:rsidRPr="00DB0E54">
        <w:rPr>
          <w:rFonts w:eastAsia="Times New Roman" w:cs="Times New Roman"/>
          <w:i/>
          <w:iCs/>
          <w:kern w:val="0"/>
          <w:szCs w:val="24"/>
          <w:lang w:eastAsia="en-AU"/>
          <w14:ligatures w14:val="none"/>
        </w:rPr>
        <w:t xml:space="preserve"> Octo questiones</w:t>
      </w:r>
      <w:r w:rsidRPr="00DB0E54">
        <w:rPr>
          <w:rFonts w:eastAsia="Times New Roman" w:cs="Times New Roman"/>
          <w:kern w:val="0"/>
          <w:szCs w:val="24"/>
          <w:lang w:eastAsia="en-AU"/>
          <w14:ligatures w14:val="none"/>
        </w:rPr>
        <w:t>, iv and viii, especially viii.4.</w:t>
      </w:r>
    </w:p>
    <w:p w14:paraId="7308764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4" w:name="note76"/>
      <w:bookmarkEnd w:id="74"/>
      <w:r w:rsidRPr="00DB0E54">
        <w:rPr>
          <w:rFonts w:eastAsia="Times New Roman" w:cs="Times New Roman"/>
          <w:b/>
          <w:bCs/>
          <w:kern w:val="0"/>
          <w:szCs w:val="24"/>
          <w:lang w:eastAsia="en-AU"/>
          <w14:ligatures w14:val="none"/>
        </w:rPr>
        <w:t>Note 76</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iv.2.29-40 (pp. 124-5);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pp. 109-110, 121.</w:t>
      </w:r>
    </w:p>
    <w:p w14:paraId="26AEEF3E"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5" w:name="note77"/>
      <w:bookmarkEnd w:id="75"/>
      <w:r w:rsidRPr="00DB0E54">
        <w:rPr>
          <w:rFonts w:eastAsia="Times New Roman" w:cs="Times New Roman"/>
          <w:b/>
          <w:bCs/>
          <w:kern w:val="0"/>
          <w:szCs w:val="24"/>
          <w:lang w:eastAsia="en-AU"/>
          <w14:ligatures w14:val="none"/>
        </w:rPr>
        <w:t>Note 77</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ii.10.14-33 (pp. 86-7), iv.6.72-97 (p. 138), viii.6.21-32 and 48-62 (pp. 199-201) See similar remarks about the transfer of the kingdom of the Franks,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pp 162-3,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xml:space="preserve">, iv.3.132-150 (p. 129). See also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ii.13-19, on supplying the deficiencies of secular judges.</w:t>
      </w:r>
    </w:p>
    <w:p w14:paraId="201CE8D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6" w:name="note78"/>
      <w:bookmarkEnd w:id="76"/>
      <w:r w:rsidRPr="00DB0E54">
        <w:rPr>
          <w:rFonts w:eastAsia="Times New Roman" w:cs="Times New Roman"/>
          <w:b/>
          <w:bCs/>
          <w:kern w:val="0"/>
          <w:szCs w:val="24"/>
          <w:lang w:eastAsia="en-AU"/>
          <w14:ligatures w14:val="none"/>
        </w:rPr>
        <w:t>Note 78</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xml:space="preserve">, iii.3-7 (Chs. 5-7 translated in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xml:space="preserve">, pp. 281-98). See also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iii.11-14.</w:t>
      </w:r>
    </w:p>
    <w:p w14:paraId="101CD58D"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7" w:name="note79"/>
      <w:bookmarkEnd w:id="77"/>
      <w:r w:rsidRPr="00DB0E54">
        <w:rPr>
          <w:rFonts w:eastAsia="Times New Roman" w:cs="Times New Roman"/>
          <w:b/>
          <w:bCs/>
          <w:kern w:val="0"/>
          <w:szCs w:val="24"/>
          <w:lang w:eastAsia="en-AU"/>
          <w14:ligatures w14:val="none"/>
        </w:rPr>
        <w:t>Note 79</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III-2 Dial.</w:t>
      </w:r>
      <w:r w:rsidRPr="00DB0E54">
        <w:rPr>
          <w:rFonts w:eastAsia="Times New Roman" w:cs="Times New Roman"/>
          <w:kern w:val="0"/>
          <w:szCs w:val="24"/>
          <w:lang w:eastAsia="en-AU"/>
          <w14:ligatures w14:val="none"/>
        </w:rPr>
        <w:t>, ii.26-8.</w:t>
      </w:r>
    </w:p>
    <w:p w14:paraId="3D392F1B"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8" w:name="note80"/>
      <w:bookmarkEnd w:id="78"/>
      <w:r w:rsidRPr="00DB0E54">
        <w:rPr>
          <w:rFonts w:eastAsia="Times New Roman" w:cs="Times New Roman"/>
          <w:b/>
          <w:bCs/>
          <w:kern w:val="0"/>
          <w:szCs w:val="24"/>
          <w:lang w:eastAsia="en-AU"/>
          <w14:ligatures w14:val="none"/>
        </w:rPr>
        <w:t>Note 80</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OQ</w:t>
      </w:r>
      <w:r w:rsidRPr="00DB0E54">
        <w:rPr>
          <w:rFonts w:eastAsia="Times New Roman" w:cs="Times New Roman"/>
          <w:kern w:val="0"/>
          <w:szCs w:val="24"/>
          <w:lang w:eastAsia="en-AU"/>
          <w14:ligatures w14:val="none"/>
        </w:rPr>
        <w:t>, iii.6, 7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pp. 317-9).</w:t>
      </w:r>
    </w:p>
    <w:p w14:paraId="55D0F11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79" w:name="note81"/>
      <w:bookmarkEnd w:id="79"/>
      <w:r w:rsidRPr="00DB0E54">
        <w:rPr>
          <w:rFonts w:eastAsia="Times New Roman" w:cs="Times New Roman"/>
          <w:b/>
          <w:bCs/>
          <w:kern w:val="0"/>
          <w:szCs w:val="24"/>
          <w:lang w:eastAsia="en-AU"/>
          <w14:ligatures w14:val="none"/>
        </w:rPr>
        <w:t>Note 81</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136.</w:t>
      </w:r>
    </w:p>
    <w:p w14:paraId="4BBD770A"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80" w:name="note82"/>
      <w:bookmarkEnd w:id="80"/>
      <w:r w:rsidRPr="00DB0E54">
        <w:rPr>
          <w:rFonts w:eastAsia="Times New Roman" w:cs="Times New Roman"/>
          <w:b/>
          <w:bCs/>
          <w:kern w:val="0"/>
          <w:szCs w:val="24"/>
          <w:lang w:eastAsia="en-AU"/>
          <w14:ligatures w14:val="none"/>
        </w:rPr>
        <w:lastRenderedPageBreak/>
        <w:t>Note 82</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xml:space="preserve">, p. 30; cf. p.47. See also </w:t>
      </w:r>
      <w:r w:rsidRPr="00DB0E54">
        <w:rPr>
          <w:rFonts w:eastAsia="Times New Roman" w:cs="Times New Roman"/>
          <w:i/>
          <w:iCs/>
          <w:kern w:val="0"/>
          <w:szCs w:val="24"/>
          <w:lang w:eastAsia="en-AU"/>
          <w14:ligatures w14:val="none"/>
        </w:rPr>
        <w:t>Dialogus</w:t>
      </w:r>
      <w:r w:rsidRPr="00DB0E54">
        <w:rPr>
          <w:rFonts w:eastAsia="Times New Roman" w:cs="Times New Roman"/>
          <w:kern w:val="0"/>
          <w:szCs w:val="24"/>
          <w:lang w:eastAsia="en-AU"/>
          <w14:ligatures w14:val="none"/>
        </w:rPr>
        <w:t xml:space="preserve">, translated in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137.</w:t>
      </w:r>
    </w:p>
    <w:p w14:paraId="3E8C8E41"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81" w:name="note83"/>
      <w:bookmarkEnd w:id="81"/>
      <w:r w:rsidRPr="00DB0E54">
        <w:rPr>
          <w:rFonts w:eastAsia="Times New Roman" w:cs="Times New Roman"/>
          <w:b/>
          <w:bCs/>
          <w:kern w:val="0"/>
          <w:szCs w:val="24"/>
          <w:lang w:eastAsia="en-AU"/>
          <w14:ligatures w14:val="none"/>
        </w:rPr>
        <w:t>Note 83</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SD</w:t>
      </w:r>
      <w:r w:rsidRPr="00DB0E54">
        <w:rPr>
          <w:rFonts w:eastAsia="Times New Roman" w:cs="Times New Roman"/>
          <w:kern w:val="0"/>
          <w:szCs w:val="24"/>
          <w:lang w:eastAsia="en-AU"/>
          <w14:ligatures w14:val="none"/>
        </w:rPr>
        <w:t>, p. 88.</w:t>
      </w:r>
    </w:p>
    <w:p w14:paraId="313A225D"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82" w:name="note84"/>
      <w:bookmarkEnd w:id="82"/>
      <w:r w:rsidRPr="00DB0E54">
        <w:rPr>
          <w:rFonts w:eastAsia="Times New Roman" w:cs="Times New Roman"/>
          <w:b/>
          <w:bCs/>
          <w:kern w:val="0"/>
          <w:szCs w:val="24"/>
          <w:lang w:eastAsia="en-AU"/>
          <w14:ligatures w14:val="none"/>
        </w:rPr>
        <w:t>Note 84</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OND</w:t>
      </w:r>
      <w:r w:rsidRPr="00DB0E54">
        <w:rPr>
          <w:rFonts w:eastAsia="Times New Roman" w:cs="Times New Roman"/>
          <w:kern w:val="0"/>
          <w:szCs w:val="24"/>
          <w:lang w:eastAsia="en-AU"/>
          <w14:ligatures w14:val="none"/>
        </w:rPr>
        <w:t xml:space="preserve">, in </w:t>
      </w:r>
      <w:r w:rsidRPr="00DB0E54">
        <w:rPr>
          <w:rFonts w:eastAsia="Times New Roman" w:cs="Times New Roman"/>
          <w:i/>
          <w:iCs/>
          <w:kern w:val="0"/>
          <w:szCs w:val="24"/>
          <w:lang w:eastAsia="en-AU"/>
          <w14:ligatures w14:val="none"/>
        </w:rPr>
        <w:t>Writings</w:t>
      </w:r>
      <w:r w:rsidRPr="00DB0E54">
        <w:rPr>
          <w:rFonts w:eastAsia="Times New Roman" w:cs="Times New Roman"/>
          <w:kern w:val="0"/>
          <w:szCs w:val="24"/>
          <w:lang w:eastAsia="en-AU"/>
          <w14:ligatures w14:val="none"/>
        </w:rPr>
        <w:t>, p. 40.</w:t>
      </w:r>
    </w:p>
    <w:p w14:paraId="1E451FF4" w14:textId="77777777" w:rsidR="00DB0E54" w:rsidRPr="00DB0E54" w:rsidRDefault="00DB0E54" w:rsidP="00DB0E54">
      <w:pPr>
        <w:spacing w:before="100" w:beforeAutospacing="1" w:after="100" w:afterAutospacing="1" w:line="240" w:lineRule="auto"/>
        <w:rPr>
          <w:rFonts w:eastAsia="Times New Roman" w:cs="Times New Roman"/>
          <w:kern w:val="0"/>
          <w:szCs w:val="24"/>
          <w:lang w:eastAsia="en-AU"/>
          <w14:ligatures w14:val="none"/>
        </w:rPr>
      </w:pPr>
      <w:bookmarkStart w:id="83" w:name="note85"/>
      <w:bookmarkEnd w:id="83"/>
      <w:r w:rsidRPr="00DB0E54">
        <w:rPr>
          <w:rFonts w:eastAsia="Times New Roman" w:cs="Times New Roman"/>
          <w:b/>
          <w:bCs/>
          <w:kern w:val="0"/>
          <w:szCs w:val="24"/>
          <w:lang w:eastAsia="en-AU"/>
          <w14:ligatures w14:val="none"/>
        </w:rPr>
        <w:t>Note 85</w:t>
      </w:r>
      <w:r w:rsidRPr="00DB0E54">
        <w:rPr>
          <w:rFonts w:eastAsia="Times New Roman" w:cs="Times New Roman"/>
          <w:kern w:val="0"/>
          <w:szCs w:val="24"/>
          <w:lang w:eastAsia="en-AU"/>
          <w14:ligatures w14:val="none"/>
        </w:rPr>
        <w:t xml:space="preserve"> </w:t>
      </w:r>
      <w:r w:rsidRPr="00DB0E54">
        <w:rPr>
          <w:rFonts w:eastAsia="Times New Roman" w:cs="Times New Roman"/>
          <w:i/>
          <w:iCs/>
          <w:kern w:val="0"/>
          <w:szCs w:val="24"/>
          <w:lang w:eastAsia="en-AU"/>
          <w14:ligatures w14:val="none"/>
        </w:rPr>
        <w:t>I. Dial.</w:t>
      </w:r>
      <w:r w:rsidRPr="00DB0E54">
        <w:rPr>
          <w:rFonts w:eastAsia="Times New Roman" w:cs="Times New Roman"/>
          <w:kern w:val="0"/>
          <w:szCs w:val="24"/>
          <w:lang w:eastAsia="en-AU"/>
          <w14:ligatures w14:val="none"/>
        </w:rPr>
        <w:t xml:space="preserve">, vi.85. </w:t>
      </w:r>
    </w:p>
    <w:p w14:paraId="21ED99D6" w14:textId="77777777" w:rsidR="00F84528" w:rsidRPr="00DB0E54" w:rsidRDefault="00F84528" w:rsidP="00DB0E54"/>
    <w:sectPr w:rsidR="00F84528" w:rsidRPr="00DB0E54" w:rsidSect="005B5970">
      <w:pgSz w:w="7938"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0E54"/>
    <w:rsid w:val="00195EEC"/>
    <w:rsid w:val="00257139"/>
    <w:rsid w:val="00370B30"/>
    <w:rsid w:val="00504527"/>
    <w:rsid w:val="005B5970"/>
    <w:rsid w:val="0080402C"/>
    <w:rsid w:val="00C20CFB"/>
    <w:rsid w:val="00DB0E54"/>
    <w:rsid w:val="00F84528"/>
    <w:rsid w:val="00FF1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F62D"/>
  <w15:chartTrackingRefBased/>
  <w15:docId w15:val="{E3443AD0-491E-4A5D-A992-33140C27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FB"/>
    <w:pPr>
      <w:spacing w:after="120"/>
    </w:pPr>
    <w:rPr>
      <w:rFonts w:ascii="Times New Roman" w:hAnsi="Times New Roman"/>
      <w:sz w:val="24"/>
    </w:rPr>
  </w:style>
  <w:style w:type="paragraph" w:styleId="Heading1">
    <w:name w:val="heading 1"/>
    <w:basedOn w:val="Normal"/>
    <w:next w:val="Normal"/>
    <w:link w:val="Heading1Char"/>
    <w:autoRedefine/>
    <w:uiPriority w:val="9"/>
    <w:qFormat/>
    <w:rsid w:val="00C20CFB"/>
    <w:pPr>
      <w:keepNext/>
      <w:keepLines/>
      <w:spacing w:before="240" w:after="0"/>
      <w:jc w:val="center"/>
      <w:outlineLvl w:val="0"/>
    </w:pPr>
    <w:rPr>
      <w:rFonts w:ascii="Garamond" w:eastAsiaTheme="majorEastAsia" w:hAnsi="Garamond" w:cstheme="majorBidi"/>
      <w:b/>
      <w:i/>
      <w:caps/>
      <w:color w:val="000000" w:themeColor="text1"/>
      <w:sz w:val="36"/>
      <w:szCs w:val="32"/>
    </w:rPr>
  </w:style>
  <w:style w:type="paragraph" w:styleId="Heading2">
    <w:name w:val="heading 2"/>
    <w:basedOn w:val="Normal"/>
    <w:next w:val="Normal"/>
    <w:link w:val="Heading2Char"/>
    <w:autoRedefine/>
    <w:uiPriority w:val="9"/>
    <w:unhideWhenUsed/>
    <w:qFormat/>
    <w:rsid w:val="00C20CFB"/>
    <w:pPr>
      <w:keepNext/>
      <w:keepLines/>
      <w:spacing w:before="120"/>
      <w:jc w:val="center"/>
      <w:outlineLvl w:val="1"/>
    </w:pPr>
    <w:rPr>
      <w:rFonts w:ascii="Garamond" w:eastAsiaTheme="majorEastAsia" w:hAnsi="Garamond" w:cstheme="majorBidi"/>
      <w:b/>
      <w:i/>
      <w:caps/>
      <w:color w:val="000000" w:themeColor="text1"/>
      <w:sz w:val="32"/>
      <w:szCs w:val="26"/>
      <w:u w:val="single"/>
    </w:rPr>
  </w:style>
  <w:style w:type="paragraph" w:styleId="Heading3">
    <w:name w:val="heading 3"/>
    <w:basedOn w:val="Normal"/>
    <w:next w:val="Normal"/>
    <w:link w:val="Heading3Char"/>
    <w:autoRedefine/>
    <w:uiPriority w:val="9"/>
    <w:unhideWhenUsed/>
    <w:qFormat/>
    <w:rsid w:val="00C20CFB"/>
    <w:pPr>
      <w:keepNext/>
      <w:keepLines/>
      <w:spacing w:before="120"/>
      <w:jc w:val="center"/>
      <w:outlineLvl w:val="2"/>
    </w:pPr>
    <w:rPr>
      <w:rFonts w:ascii="Garamond" w:eastAsiaTheme="majorEastAsia" w:hAnsi="Garamond" w:cstheme="majorBidi"/>
      <w:b/>
      <w:i/>
      <w:smallCaps/>
      <w:sz w:val="28"/>
      <w:szCs w:val="24"/>
      <w:u w:val="single"/>
    </w:rPr>
  </w:style>
  <w:style w:type="paragraph" w:styleId="Heading4">
    <w:name w:val="heading 4"/>
    <w:basedOn w:val="Normal"/>
    <w:next w:val="Normal"/>
    <w:link w:val="Heading4Char"/>
    <w:autoRedefine/>
    <w:uiPriority w:val="9"/>
    <w:unhideWhenUsed/>
    <w:qFormat/>
    <w:rsid w:val="00C20CFB"/>
    <w:pPr>
      <w:keepNext/>
      <w:keepLines/>
      <w:spacing w:before="120"/>
      <w:jc w:val="center"/>
      <w:outlineLvl w:val="3"/>
    </w:pPr>
    <w:rPr>
      <w:rFonts w:ascii="Garamond" w:eastAsiaTheme="majorEastAsia" w:hAnsi="Garamond" w:cstheme="majorBidi"/>
      <w:b/>
      <w:i/>
      <w:iCs/>
      <w:smallCaps/>
      <w:u w:val="single"/>
    </w:rPr>
  </w:style>
  <w:style w:type="paragraph" w:styleId="Heading5">
    <w:name w:val="heading 5"/>
    <w:basedOn w:val="Normal"/>
    <w:next w:val="Normal"/>
    <w:link w:val="Heading5Char"/>
    <w:autoRedefine/>
    <w:uiPriority w:val="9"/>
    <w:unhideWhenUsed/>
    <w:qFormat/>
    <w:rsid w:val="00C20CFB"/>
    <w:pPr>
      <w:keepNext/>
      <w:keepLines/>
      <w:spacing w:before="40" w:after="0"/>
      <w:outlineLvl w:val="4"/>
    </w:pPr>
    <w:rPr>
      <w:rFonts w:ascii="Garamond" w:eastAsiaTheme="majorEastAsia" w:hAnsi="Garamond" w:cstheme="majorBidi"/>
      <w:b/>
      <w:i/>
      <w:smallCaps/>
      <w:sz w:val="28"/>
      <w:u w:val="single"/>
    </w:rPr>
  </w:style>
  <w:style w:type="paragraph" w:styleId="Heading6">
    <w:name w:val="heading 6"/>
    <w:basedOn w:val="Normal"/>
    <w:next w:val="Normal"/>
    <w:link w:val="Heading6Char"/>
    <w:autoRedefine/>
    <w:uiPriority w:val="9"/>
    <w:unhideWhenUsed/>
    <w:qFormat/>
    <w:rsid w:val="00C20CFB"/>
    <w:pPr>
      <w:keepNext/>
      <w:keepLines/>
      <w:spacing w:before="120"/>
      <w:outlineLvl w:val="5"/>
    </w:pPr>
    <w:rPr>
      <w:rFonts w:ascii="Garamond" w:eastAsiaTheme="majorEastAsia" w:hAnsi="Garamond" w:cstheme="majorBidi"/>
      <w:b/>
      <w:i/>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0CFB"/>
    <w:rPr>
      <w:rFonts w:ascii="Garamond" w:eastAsiaTheme="majorEastAsia" w:hAnsi="Garamond" w:cstheme="majorBidi"/>
      <w:b/>
      <w:i/>
      <w:smallCaps/>
      <w:sz w:val="28"/>
      <w:szCs w:val="24"/>
      <w:u w:val="single"/>
    </w:rPr>
  </w:style>
  <w:style w:type="character" w:customStyle="1" w:styleId="Heading4Char">
    <w:name w:val="Heading 4 Char"/>
    <w:basedOn w:val="DefaultParagraphFont"/>
    <w:link w:val="Heading4"/>
    <w:uiPriority w:val="9"/>
    <w:rsid w:val="00C20CFB"/>
    <w:rPr>
      <w:rFonts w:ascii="Garamond" w:eastAsiaTheme="majorEastAsia" w:hAnsi="Garamond" w:cstheme="majorBidi"/>
      <w:b/>
      <w:i/>
      <w:iCs/>
      <w:smallCaps/>
      <w:sz w:val="24"/>
      <w:u w:val="single"/>
    </w:rPr>
  </w:style>
  <w:style w:type="character" w:customStyle="1" w:styleId="Heading2Char">
    <w:name w:val="Heading 2 Char"/>
    <w:basedOn w:val="DefaultParagraphFont"/>
    <w:link w:val="Heading2"/>
    <w:uiPriority w:val="9"/>
    <w:rsid w:val="00C20CFB"/>
    <w:rPr>
      <w:rFonts w:ascii="Garamond" w:eastAsiaTheme="majorEastAsia" w:hAnsi="Garamond" w:cstheme="majorBidi"/>
      <w:b/>
      <w:i/>
      <w:caps/>
      <w:color w:val="000000" w:themeColor="text1"/>
      <w:sz w:val="32"/>
      <w:szCs w:val="26"/>
      <w:u w:val="single"/>
    </w:rPr>
  </w:style>
  <w:style w:type="character" w:customStyle="1" w:styleId="Heading1Char">
    <w:name w:val="Heading 1 Char"/>
    <w:basedOn w:val="DefaultParagraphFont"/>
    <w:link w:val="Heading1"/>
    <w:uiPriority w:val="9"/>
    <w:rsid w:val="00C20CFB"/>
    <w:rPr>
      <w:rFonts w:ascii="Garamond" w:eastAsiaTheme="majorEastAsia" w:hAnsi="Garamond" w:cstheme="majorBidi"/>
      <w:b/>
      <w:i/>
      <w:caps/>
      <w:color w:val="000000" w:themeColor="text1"/>
      <w:sz w:val="36"/>
      <w:szCs w:val="32"/>
    </w:rPr>
  </w:style>
  <w:style w:type="character" w:customStyle="1" w:styleId="Heading5Char">
    <w:name w:val="Heading 5 Char"/>
    <w:basedOn w:val="DefaultParagraphFont"/>
    <w:link w:val="Heading5"/>
    <w:uiPriority w:val="9"/>
    <w:rsid w:val="00C20CFB"/>
    <w:rPr>
      <w:rFonts w:ascii="Garamond" w:eastAsiaTheme="majorEastAsia" w:hAnsi="Garamond" w:cstheme="majorBidi"/>
      <w:b/>
      <w:i/>
      <w:smallCaps/>
      <w:sz w:val="28"/>
      <w:u w:val="single"/>
    </w:rPr>
  </w:style>
  <w:style w:type="character" w:customStyle="1" w:styleId="Heading6Char">
    <w:name w:val="Heading 6 Char"/>
    <w:basedOn w:val="DefaultParagraphFont"/>
    <w:link w:val="Heading6"/>
    <w:uiPriority w:val="9"/>
    <w:rsid w:val="00C20CFB"/>
    <w:rPr>
      <w:rFonts w:ascii="Garamond" w:eastAsiaTheme="majorEastAsia" w:hAnsi="Garamond" w:cstheme="majorBidi"/>
      <w:b/>
      <w:i/>
      <w:smallCaps/>
      <w:sz w:val="24"/>
      <w:u w:val="single"/>
    </w:rPr>
  </w:style>
  <w:style w:type="paragraph" w:styleId="NormalWeb">
    <w:name w:val="Normal (Web)"/>
    <w:basedOn w:val="Normal"/>
    <w:uiPriority w:val="99"/>
    <w:semiHidden/>
    <w:unhideWhenUsed/>
    <w:rsid w:val="00195EEC"/>
    <w:pPr>
      <w:spacing w:before="100" w:beforeAutospacing="1" w:after="100" w:afterAutospacing="1" w:line="240" w:lineRule="auto"/>
    </w:pPr>
    <w:rPr>
      <w:rFonts w:eastAsia="Times New Roman" w:cs="Times New Roman"/>
      <w:kern w:val="0"/>
      <w:szCs w:val="24"/>
      <w:lang w:eastAsia="en-AU"/>
    </w:rPr>
  </w:style>
  <w:style w:type="character" w:styleId="Strong">
    <w:name w:val="Strong"/>
    <w:basedOn w:val="DefaultParagraphFont"/>
    <w:uiPriority w:val="22"/>
    <w:qFormat/>
    <w:rsid w:val="00370B30"/>
    <w:rPr>
      <w:b/>
      <w:bCs/>
    </w:rPr>
  </w:style>
  <w:style w:type="character" w:styleId="Emphasis">
    <w:name w:val="Emphasis"/>
    <w:basedOn w:val="DefaultParagraphFont"/>
    <w:uiPriority w:val="20"/>
    <w:qFormat/>
    <w:rsid w:val="00DB0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3121">
      <w:bodyDiv w:val="1"/>
      <w:marLeft w:val="0"/>
      <w:marRight w:val="0"/>
      <w:marTop w:val="0"/>
      <w:marBottom w:val="0"/>
      <w:divBdr>
        <w:top w:val="none" w:sz="0" w:space="0" w:color="auto"/>
        <w:left w:val="none" w:sz="0" w:space="0" w:color="auto"/>
        <w:bottom w:val="none" w:sz="0" w:space="0" w:color="auto"/>
        <w:right w:val="none" w:sz="0" w:space="0" w:color="auto"/>
      </w:divBdr>
    </w:div>
    <w:div w:id="20548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2411</Words>
  <Characters>13745</Characters>
  <Application>Microsoft Office Word</Application>
  <DocSecurity>0</DocSecurity>
  <Lines>114</Lines>
  <Paragraphs>32</Paragraphs>
  <ScaleCrop>false</ScaleCrop>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Kilcullen</dc:creator>
  <cp:keywords/>
  <dc:description/>
  <cp:lastModifiedBy>John Kilcullen</cp:lastModifiedBy>
  <cp:revision>3</cp:revision>
  <dcterms:created xsi:type="dcterms:W3CDTF">2024-02-01T09:15:00Z</dcterms:created>
  <dcterms:modified xsi:type="dcterms:W3CDTF">2024-02-01T09:55:00Z</dcterms:modified>
</cp:coreProperties>
</file>