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5DC9"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r w:rsidRPr="00C31F0C">
        <w:rPr>
          <w:rFonts w:eastAsia="Times New Roman" w:cs="Times New Roman"/>
          <w:b/>
          <w:bCs/>
          <w:kern w:val="0"/>
          <w:szCs w:val="24"/>
          <w:lang w:eastAsia="en-AU"/>
          <w14:ligatures w14:val="none"/>
        </w:rPr>
        <w:t>Note 1.</w:t>
      </w:r>
      <w:r w:rsidRPr="00C31F0C">
        <w:rPr>
          <w:rFonts w:eastAsia="Times New Roman" w:cs="Times New Roman"/>
          <w:kern w:val="0"/>
          <w:szCs w:val="24"/>
          <w:lang w:eastAsia="en-AU"/>
          <w14:ligatures w14:val="none"/>
        </w:rPr>
        <w:t xml:space="preserve"> See L. Baudry, </w:t>
      </w:r>
      <w:r w:rsidRPr="00C31F0C">
        <w:rPr>
          <w:rFonts w:eastAsia="Times New Roman" w:cs="Times New Roman"/>
          <w:i/>
          <w:iCs/>
          <w:kern w:val="0"/>
          <w:szCs w:val="24"/>
          <w:lang w:eastAsia="en-AU"/>
          <w14:ligatures w14:val="none"/>
        </w:rPr>
        <w:t>Guillaume d'Occam. Sa vie, ses oeuvres, ses idees sociales et politiques</w:t>
      </w:r>
      <w:r w:rsidRPr="00C31F0C">
        <w:rPr>
          <w:rFonts w:eastAsia="Times New Roman" w:cs="Times New Roman"/>
          <w:kern w:val="0"/>
          <w:szCs w:val="24"/>
          <w:lang w:eastAsia="en-AU"/>
          <w14:ligatures w14:val="none"/>
        </w:rPr>
        <w:t xml:space="preserve"> (Paris, 1950), p. 114 ff.</w:t>
      </w:r>
    </w:p>
    <w:p w14:paraId="4D0A9A5F"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0" w:name="NOTE2"/>
      <w:bookmarkEnd w:id="0"/>
      <w:r w:rsidRPr="00C31F0C">
        <w:rPr>
          <w:rFonts w:eastAsia="Times New Roman" w:cs="Times New Roman"/>
          <w:b/>
          <w:bCs/>
          <w:kern w:val="0"/>
          <w:szCs w:val="24"/>
          <w:lang w:eastAsia="en-AU"/>
          <w14:ligatures w14:val="none"/>
        </w:rPr>
        <w:t>Note 2.</w:t>
      </w:r>
      <w:r w:rsidRPr="00C31F0C">
        <w:rPr>
          <w:rFonts w:eastAsia="Times New Roman" w:cs="Times New Roman"/>
          <w:kern w:val="0"/>
          <w:szCs w:val="24"/>
          <w:lang w:eastAsia="en-AU"/>
          <w14:ligatures w14:val="none"/>
        </w:rPr>
        <w:t xml:space="preserve"> On the controversies over poverty see Decima Douie, </w:t>
      </w:r>
      <w:r w:rsidRPr="00C31F0C">
        <w:rPr>
          <w:rFonts w:eastAsia="Times New Roman" w:cs="Times New Roman"/>
          <w:i/>
          <w:iCs/>
          <w:kern w:val="0"/>
          <w:szCs w:val="24"/>
          <w:lang w:eastAsia="en-AU"/>
          <w14:ligatures w14:val="none"/>
        </w:rPr>
        <w:t>The Nature and Effect of the Heresy of the Fraticelli</w:t>
      </w:r>
      <w:r w:rsidRPr="00C31F0C">
        <w:rPr>
          <w:rFonts w:eastAsia="Times New Roman" w:cs="Times New Roman"/>
          <w:kern w:val="0"/>
          <w:szCs w:val="24"/>
          <w:lang w:eastAsia="en-AU"/>
          <w14:ligatures w14:val="none"/>
        </w:rPr>
        <w:t xml:space="preserve"> (Manchester, 1932), M.D. Lambert, </w:t>
      </w:r>
      <w:r w:rsidRPr="00C31F0C">
        <w:rPr>
          <w:rFonts w:eastAsia="Times New Roman" w:cs="Times New Roman"/>
          <w:i/>
          <w:iCs/>
          <w:kern w:val="0"/>
          <w:szCs w:val="24"/>
          <w:lang w:eastAsia="en-AU"/>
          <w14:ligatures w14:val="none"/>
        </w:rPr>
        <w:t>Franciscan Poverty</w:t>
      </w:r>
      <w:r w:rsidRPr="00C31F0C">
        <w:rPr>
          <w:rFonts w:eastAsia="Times New Roman" w:cs="Times New Roman"/>
          <w:kern w:val="0"/>
          <w:szCs w:val="24"/>
          <w:lang w:eastAsia="en-AU"/>
          <w14:ligatures w14:val="none"/>
        </w:rPr>
        <w:t xml:space="preserve"> (London, 1961), G. Leff, </w:t>
      </w:r>
      <w:r w:rsidRPr="00C31F0C">
        <w:rPr>
          <w:rFonts w:eastAsia="Times New Roman" w:cs="Times New Roman"/>
          <w:i/>
          <w:iCs/>
          <w:kern w:val="0"/>
          <w:szCs w:val="24"/>
          <w:lang w:eastAsia="en-AU"/>
          <w14:ligatures w14:val="none"/>
        </w:rPr>
        <w:t>Heresy in the Later Middle Ages</w:t>
      </w:r>
      <w:r w:rsidRPr="00C31F0C">
        <w:rPr>
          <w:rFonts w:eastAsia="Times New Roman" w:cs="Times New Roman"/>
          <w:kern w:val="0"/>
          <w:szCs w:val="24"/>
          <w:lang w:eastAsia="en-AU"/>
          <w14:ligatures w14:val="none"/>
        </w:rPr>
        <w:t xml:space="preserve"> (Manchester, 1967), B. Tierney, </w:t>
      </w:r>
      <w:r w:rsidRPr="00C31F0C">
        <w:rPr>
          <w:rFonts w:eastAsia="Times New Roman" w:cs="Times New Roman"/>
          <w:i/>
          <w:iCs/>
          <w:kern w:val="0"/>
          <w:szCs w:val="24"/>
          <w:lang w:eastAsia="en-AU"/>
          <w14:ligatures w14:val="none"/>
        </w:rPr>
        <w:t>Origins of Papal Infallibility, 1150-1350</w:t>
      </w:r>
      <w:r w:rsidRPr="00C31F0C">
        <w:rPr>
          <w:rFonts w:eastAsia="Times New Roman" w:cs="Times New Roman"/>
          <w:kern w:val="0"/>
          <w:szCs w:val="24"/>
          <w:lang w:eastAsia="en-AU"/>
          <w14:ligatures w14:val="none"/>
        </w:rPr>
        <w:t xml:space="preserve"> (Leiden, 1972).</w:t>
      </w:r>
    </w:p>
    <w:p w14:paraId="2AD10AC0"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 w:name="NOTE3"/>
      <w:bookmarkEnd w:id="1"/>
      <w:r w:rsidRPr="00C31F0C">
        <w:rPr>
          <w:rFonts w:eastAsia="Times New Roman" w:cs="Times New Roman"/>
          <w:b/>
          <w:bCs/>
          <w:kern w:val="0"/>
          <w:szCs w:val="24"/>
          <w:lang w:eastAsia="en-AU"/>
          <w14:ligatures w14:val="none"/>
        </w:rPr>
        <w:t>Note 3.</w:t>
      </w:r>
      <w:r w:rsidRPr="00C31F0C">
        <w:rPr>
          <w:rFonts w:eastAsia="Times New Roman" w:cs="Times New Roman"/>
          <w:kern w:val="0"/>
          <w:szCs w:val="24"/>
          <w:lang w:eastAsia="en-AU"/>
          <w14:ligatures w14:val="none"/>
        </w:rPr>
        <w:t xml:space="preserve"> Thomas Aquinas had said that there could be no 'use' in things consumed in use; see </w:t>
      </w:r>
      <w:r w:rsidRPr="00C31F0C">
        <w:rPr>
          <w:rFonts w:eastAsia="Times New Roman" w:cs="Times New Roman"/>
          <w:i/>
          <w:iCs/>
          <w:kern w:val="0"/>
          <w:szCs w:val="24"/>
          <w:lang w:eastAsia="en-AU"/>
          <w14:ligatures w14:val="none"/>
        </w:rPr>
        <w:t>Summa theologiae</w:t>
      </w:r>
      <w:r w:rsidRPr="00C31F0C">
        <w:rPr>
          <w:rFonts w:eastAsia="Times New Roman" w:cs="Times New Roman"/>
          <w:kern w:val="0"/>
          <w:szCs w:val="24"/>
          <w:lang w:eastAsia="en-AU"/>
          <w14:ligatures w14:val="none"/>
        </w:rPr>
        <w:t xml:space="preserve">, 2-2, q. 78, a. 1. But John was not following Thomas Aquinas in saying that property existed before there were human positive laws. According to Thomas Aquinas property is permitted by natural law but is actually established by human enactment; see </w:t>
      </w:r>
      <w:r w:rsidRPr="00C31F0C">
        <w:rPr>
          <w:rFonts w:eastAsia="Times New Roman" w:cs="Times New Roman"/>
          <w:i/>
          <w:iCs/>
          <w:kern w:val="0"/>
          <w:szCs w:val="24"/>
          <w:lang w:eastAsia="en-AU"/>
          <w14:ligatures w14:val="none"/>
        </w:rPr>
        <w:t>Summa</w:t>
      </w:r>
      <w:r w:rsidRPr="00C31F0C">
        <w:rPr>
          <w:rFonts w:eastAsia="Times New Roman" w:cs="Times New Roman"/>
          <w:kern w:val="0"/>
          <w:szCs w:val="24"/>
          <w:lang w:eastAsia="en-AU"/>
          <w14:ligatures w14:val="none"/>
        </w:rPr>
        <w:t xml:space="preserve"> 2-2, q. 66, a. 7, and a. 2, ad 1. See A. Carlyle, 'The Theory of Property in Medieval Theology', in </w:t>
      </w:r>
      <w:r w:rsidRPr="00C31F0C">
        <w:rPr>
          <w:rFonts w:eastAsia="Times New Roman" w:cs="Times New Roman"/>
          <w:i/>
          <w:iCs/>
          <w:kern w:val="0"/>
          <w:szCs w:val="24"/>
          <w:lang w:eastAsia="en-AU"/>
          <w14:ligatures w14:val="none"/>
        </w:rPr>
        <w:t>Property: Its Duties and Rights</w:t>
      </w:r>
      <w:r w:rsidRPr="00C31F0C">
        <w:rPr>
          <w:rFonts w:eastAsia="Times New Roman" w:cs="Times New Roman"/>
          <w:kern w:val="0"/>
          <w:szCs w:val="24"/>
          <w:lang w:eastAsia="en-AU"/>
          <w14:ligatures w14:val="none"/>
        </w:rPr>
        <w:t xml:space="preserve"> (London, 1913), pp. 117-32.</w:t>
      </w:r>
    </w:p>
    <w:p w14:paraId="3096323B"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 w:name="NOTE4"/>
      <w:bookmarkEnd w:id="2"/>
      <w:r w:rsidRPr="00C31F0C">
        <w:rPr>
          <w:rFonts w:eastAsia="Times New Roman" w:cs="Times New Roman"/>
          <w:b/>
          <w:bCs/>
          <w:kern w:val="0"/>
          <w:szCs w:val="24"/>
          <w:lang w:eastAsia="en-AU"/>
          <w14:ligatures w14:val="none"/>
        </w:rPr>
        <w:t>Note 4.</w:t>
      </w:r>
      <w:r w:rsidRPr="00C31F0C">
        <w:rPr>
          <w:rFonts w:eastAsia="Times New Roman" w:cs="Times New Roman"/>
          <w:kern w:val="0"/>
          <w:szCs w:val="24"/>
          <w:lang w:eastAsia="en-AU"/>
          <w14:ligatures w14:val="none"/>
        </w:rPr>
        <w:t xml:space="preserve"> It was common opinion that a pope could become a heretic, and some held that a pope who became a heretic automatically ceased to be pope; see B. Tierney, </w:t>
      </w:r>
      <w:r w:rsidRPr="00C31F0C">
        <w:rPr>
          <w:rFonts w:eastAsia="Times New Roman" w:cs="Times New Roman"/>
          <w:i/>
          <w:iCs/>
          <w:kern w:val="0"/>
          <w:szCs w:val="24"/>
          <w:lang w:eastAsia="en-AU"/>
          <w14:ligatures w14:val="none"/>
        </w:rPr>
        <w:t>Foundations of the Conciliar Theory</w:t>
      </w:r>
      <w:r w:rsidRPr="00C31F0C">
        <w:rPr>
          <w:rFonts w:eastAsia="Times New Roman" w:cs="Times New Roman"/>
          <w:kern w:val="0"/>
          <w:szCs w:val="24"/>
          <w:lang w:eastAsia="en-AU"/>
          <w14:ligatures w14:val="none"/>
        </w:rPr>
        <w:t xml:space="preserve"> (Cambridge, 1955), pp. 57-67.</w:t>
      </w:r>
    </w:p>
    <w:p w14:paraId="0D11CA0B"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3" w:name="NOTE5"/>
      <w:bookmarkEnd w:id="3"/>
      <w:r w:rsidRPr="00C31F0C">
        <w:rPr>
          <w:rFonts w:eastAsia="Times New Roman" w:cs="Times New Roman"/>
          <w:b/>
          <w:bCs/>
          <w:kern w:val="0"/>
          <w:szCs w:val="24"/>
          <w:lang w:eastAsia="en-AU"/>
          <w14:ligatures w14:val="none"/>
        </w:rPr>
        <w:t>Note 5.</w:t>
      </w:r>
      <w:r w:rsidRPr="00C31F0C">
        <w:rPr>
          <w:rFonts w:eastAsia="Times New Roman" w:cs="Times New Roman"/>
          <w:kern w:val="0"/>
          <w:szCs w:val="24"/>
          <w:lang w:eastAsia="en-AU"/>
          <w14:ligatures w14:val="none"/>
        </w:rPr>
        <w:t xml:space="preserve"> On the controversy over the 'beatific vision' see H.S. Offler, 'Introduction', in H.S. Offler (ed.), Guillelmi de Ockham </w:t>
      </w:r>
      <w:r w:rsidRPr="00C31F0C">
        <w:rPr>
          <w:rFonts w:eastAsia="Times New Roman" w:cs="Times New Roman"/>
          <w:i/>
          <w:iCs/>
          <w:kern w:val="0"/>
          <w:szCs w:val="24"/>
          <w:lang w:eastAsia="en-AU"/>
          <w14:ligatures w14:val="none"/>
        </w:rPr>
        <w:t>Opera Politica</w:t>
      </w:r>
      <w:r w:rsidRPr="00C31F0C">
        <w:rPr>
          <w:rFonts w:eastAsia="Times New Roman" w:cs="Times New Roman"/>
          <w:kern w:val="0"/>
          <w:szCs w:val="24"/>
          <w:lang w:eastAsia="en-AU"/>
          <w14:ligatures w14:val="none"/>
        </w:rPr>
        <w:t xml:space="preserve"> (Manchester, 1974, 1963) (hereafter OP), vol. 3, pp. 20-24.</w:t>
      </w:r>
    </w:p>
    <w:p w14:paraId="7E80BBD8"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4" w:name="NOTE6"/>
      <w:bookmarkEnd w:id="4"/>
      <w:r w:rsidRPr="00C31F0C">
        <w:rPr>
          <w:rFonts w:eastAsia="Times New Roman" w:cs="Times New Roman"/>
          <w:b/>
          <w:bCs/>
          <w:kern w:val="0"/>
          <w:szCs w:val="24"/>
          <w:lang w:eastAsia="en-AU"/>
          <w14:ligatures w14:val="none"/>
        </w:rPr>
        <w:t>Note 6.</w:t>
      </w:r>
      <w:r w:rsidRPr="00C31F0C">
        <w:rPr>
          <w:rFonts w:eastAsia="Times New Roman" w:cs="Times New Roman"/>
          <w:kern w:val="0"/>
          <w:szCs w:val="24"/>
          <w:lang w:eastAsia="en-AU"/>
          <w14:ligatures w14:val="none"/>
        </w:rPr>
        <w:t xml:space="preserve"> See G. Mollat, </w:t>
      </w:r>
      <w:r w:rsidRPr="00C31F0C">
        <w:rPr>
          <w:rFonts w:eastAsia="Times New Roman" w:cs="Times New Roman"/>
          <w:i/>
          <w:iCs/>
          <w:kern w:val="0"/>
          <w:szCs w:val="24"/>
          <w:lang w:eastAsia="en-AU"/>
          <w14:ligatures w14:val="none"/>
        </w:rPr>
        <w:t>The Popes of Avignon</w:t>
      </w:r>
      <w:r w:rsidRPr="00C31F0C">
        <w:rPr>
          <w:rFonts w:eastAsia="Times New Roman" w:cs="Times New Roman"/>
          <w:kern w:val="0"/>
          <w:szCs w:val="24"/>
          <w:lang w:eastAsia="en-AU"/>
          <w14:ligatures w14:val="none"/>
        </w:rPr>
        <w:t xml:space="preserve"> (tr. J. Love, London, 1963), p. 205 ff; W. T. Waugh, 'Germany: Lewis the Bavarian', </w:t>
      </w:r>
      <w:r w:rsidRPr="00C31F0C">
        <w:rPr>
          <w:rFonts w:eastAsia="Times New Roman" w:cs="Times New Roman"/>
          <w:i/>
          <w:iCs/>
          <w:kern w:val="0"/>
          <w:szCs w:val="24"/>
          <w:lang w:eastAsia="en-AU"/>
          <w14:ligatures w14:val="none"/>
        </w:rPr>
        <w:t>Cambridge Medieval History</w:t>
      </w:r>
      <w:r w:rsidRPr="00C31F0C">
        <w:rPr>
          <w:rFonts w:eastAsia="Times New Roman" w:cs="Times New Roman"/>
          <w:kern w:val="0"/>
          <w:szCs w:val="24"/>
          <w:lang w:eastAsia="en-AU"/>
          <w14:ligatures w14:val="none"/>
        </w:rPr>
        <w:t xml:space="preserve"> (Cambridge, 1932), vol. 7, p. 113 ff; H. S. Offler, 'Empire and Papacy: the Last Struggle', </w:t>
      </w:r>
      <w:r w:rsidRPr="00C31F0C">
        <w:rPr>
          <w:rFonts w:eastAsia="Times New Roman" w:cs="Times New Roman"/>
          <w:i/>
          <w:iCs/>
          <w:kern w:val="0"/>
          <w:szCs w:val="24"/>
          <w:lang w:eastAsia="en-AU"/>
          <w14:ligatures w14:val="none"/>
        </w:rPr>
        <w:t>Transactions of the Royal Historical Society</w:t>
      </w:r>
      <w:r w:rsidRPr="00C31F0C">
        <w:rPr>
          <w:rFonts w:eastAsia="Times New Roman" w:cs="Times New Roman"/>
          <w:kern w:val="0"/>
          <w:szCs w:val="24"/>
          <w:lang w:eastAsia="en-AU"/>
          <w14:ligatures w14:val="none"/>
        </w:rPr>
        <w:t>, n. s. 5, vol. 6 (1956), pp. 21-47.</w:t>
      </w:r>
    </w:p>
    <w:p w14:paraId="2BB341FC"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5" w:name="NOTE7"/>
      <w:bookmarkEnd w:id="5"/>
      <w:r w:rsidRPr="00C31F0C">
        <w:rPr>
          <w:rFonts w:eastAsia="Times New Roman" w:cs="Times New Roman"/>
          <w:b/>
          <w:bCs/>
          <w:kern w:val="0"/>
          <w:szCs w:val="24"/>
          <w:lang w:eastAsia="en-AU"/>
          <w14:ligatures w14:val="none"/>
        </w:rPr>
        <w:t>Note 7.</w:t>
      </w:r>
      <w:r w:rsidRPr="00C31F0C">
        <w:rPr>
          <w:rFonts w:eastAsia="Times New Roman" w:cs="Times New Roman"/>
          <w:kern w:val="0"/>
          <w:szCs w:val="24"/>
          <w:lang w:eastAsia="en-AU"/>
          <w14:ligatures w14:val="none"/>
        </w:rPr>
        <w:t xml:space="preserve"> See Alois Schutz, 'Der Kampf Ludwigs des Bayern gegen Papst Johannes XXII, und die Rolle der Gelehrten am Muenchner Hof', in H. Glaser (ed.), </w:t>
      </w:r>
      <w:r w:rsidRPr="00C31F0C">
        <w:rPr>
          <w:rFonts w:eastAsia="Times New Roman" w:cs="Times New Roman"/>
          <w:i/>
          <w:iCs/>
          <w:kern w:val="0"/>
          <w:szCs w:val="24"/>
          <w:lang w:eastAsia="en-AU"/>
          <w14:ligatures w14:val="none"/>
        </w:rPr>
        <w:t>Der Zeit der Fruehen Herzoge</w:t>
      </w:r>
      <w:r w:rsidRPr="00C31F0C">
        <w:rPr>
          <w:rFonts w:eastAsia="Times New Roman" w:cs="Times New Roman"/>
          <w:kern w:val="0"/>
          <w:szCs w:val="24"/>
          <w:lang w:eastAsia="en-AU"/>
          <w14:ligatures w14:val="none"/>
        </w:rPr>
        <w:t xml:space="preserve"> (Munich, 1980), pp. 388-97.</w:t>
      </w:r>
    </w:p>
    <w:p w14:paraId="16F72569"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6" w:name="NOTE8"/>
      <w:bookmarkEnd w:id="6"/>
      <w:r w:rsidRPr="00C31F0C">
        <w:rPr>
          <w:rFonts w:eastAsia="Times New Roman" w:cs="Times New Roman"/>
          <w:b/>
          <w:bCs/>
          <w:kern w:val="0"/>
          <w:szCs w:val="24"/>
          <w:lang w:eastAsia="en-AU"/>
          <w14:ligatures w14:val="none"/>
        </w:rPr>
        <w:lastRenderedPageBreak/>
        <w:t>Note 8.</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Opus nonaginata dierum</w:t>
      </w:r>
      <w:r w:rsidRPr="00C31F0C">
        <w:rPr>
          <w:rFonts w:eastAsia="Times New Roman" w:cs="Times New Roman"/>
          <w:kern w:val="0"/>
          <w:szCs w:val="24"/>
          <w:lang w:eastAsia="en-AU"/>
          <w14:ligatures w14:val="none"/>
        </w:rPr>
        <w:t xml:space="preserve"> (hereafter OND) in OP, vols. 1 and 2.</w:t>
      </w:r>
    </w:p>
    <w:p w14:paraId="2262DDDA"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7" w:name="NOTE9"/>
      <w:bookmarkEnd w:id="7"/>
      <w:r w:rsidRPr="00C31F0C">
        <w:rPr>
          <w:rFonts w:eastAsia="Times New Roman" w:cs="Times New Roman"/>
          <w:b/>
          <w:bCs/>
          <w:kern w:val="0"/>
          <w:szCs w:val="24"/>
          <w:lang w:eastAsia="en-AU"/>
          <w14:ligatures w14:val="none"/>
        </w:rPr>
        <w:t>Note 9.</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Dialogus</w:t>
      </w:r>
      <w:r w:rsidRPr="00C31F0C">
        <w:rPr>
          <w:rFonts w:eastAsia="Times New Roman" w:cs="Times New Roman"/>
          <w:kern w:val="0"/>
          <w:szCs w:val="24"/>
          <w:lang w:eastAsia="en-AU"/>
          <w14:ligatures w14:val="none"/>
        </w:rPr>
        <w:t xml:space="preserve"> (hereafter Dial.), in Guillelmus de Occam, </w:t>
      </w:r>
      <w:r w:rsidRPr="00C31F0C">
        <w:rPr>
          <w:rFonts w:eastAsia="Times New Roman" w:cs="Times New Roman"/>
          <w:i/>
          <w:iCs/>
          <w:kern w:val="0"/>
          <w:szCs w:val="24"/>
          <w:lang w:eastAsia="en-AU"/>
          <w14:ligatures w14:val="none"/>
        </w:rPr>
        <w:t>Opera plurima</w:t>
      </w:r>
      <w:r w:rsidRPr="00C31F0C">
        <w:rPr>
          <w:rFonts w:eastAsia="Times New Roman" w:cs="Times New Roman"/>
          <w:kern w:val="0"/>
          <w:szCs w:val="24"/>
          <w:lang w:eastAsia="en-AU"/>
          <w14:ligatures w14:val="none"/>
        </w:rPr>
        <w:t xml:space="preserve"> (Lyon, 1494, repr. London, 1962). An edition and translation is being published on the Web; click </w:t>
      </w:r>
      <w:hyperlink r:id="rId4" w:history="1">
        <w:r w:rsidRPr="00C31F0C">
          <w:rPr>
            <w:rFonts w:eastAsia="Times New Roman" w:cs="Times New Roman"/>
            <w:color w:val="0000FF"/>
            <w:kern w:val="0"/>
            <w:szCs w:val="24"/>
            <w:u w:val="single"/>
            <w:lang w:eastAsia="en-AU"/>
            <w14:ligatures w14:val="none"/>
          </w:rPr>
          <w:t>here</w:t>
        </w:r>
      </w:hyperlink>
      <w:r w:rsidRPr="00C31F0C">
        <w:rPr>
          <w:rFonts w:eastAsia="Times New Roman" w:cs="Times New Roman"/>
          <w:kern w:val="0"/>
          <w:szCs w:val="24"/>
          <w:lang w:eastAsia="en-AU"/>
          <w14:ligatures w14:val="none"/>
        </w:rPr>
        <w:t>.</w:t>
      </w:r>
    </w:p>
    <w:p w14:paraId="45E5AA38"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8" w:name="NOTE10"/>
      <w:bookmarkEnd w:id="8"/>
      <w:r w:rsidRPr="00C31F0C">
        <w:rPr>
          <w:rFonts w:eastAsia="Times New Roman" w:cs="Times New Roman"/>
          <w:b/>
          <w:bCs/>
          <w:kern w:val="0"/>
          <w:szCs w:val="24"/>
          <w:lang w:eastAsia="en-AU"/>
          <w14:ligatures w14:val="none"/>
        </w:rPr>
        <w:t>Note 10.</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Octo quaestiones</w:t>
      </w:r>
      <w:r w:rsidRPr="00C31F0C">
        <w:rPr>
          <w:rFonts w:eastAsia="Times New Roman" w:cs="Times New Roman"/>
          <w:kern w:val="0"/>
          <w:szCs w:val="24"/>
          <w:lang w:eastAsia="en-AU"/>
          <w14:ligatures w14:val="none"/>
        </w:rPr>
        <w:t xml:space="preserve"> (hereafter OQ), in OP, vol. 1. See H. S. Offler, 'The Origin of Ockham's Octo Quaestiones', </w:t>
      </w:r>
      <w:r w:rsidRPr="00C31F0C">
        <w:rPr>
          <w:rFonts w:eastAsia="Times New Roman" w:cs="Times New Roman"/>
          <w:i/>
          <w:iCs/>
          <w:kern w:val="0"/>
          <w:szCs w:val="24"/>
          <w:lang w:eastAsia="en-AU"/>
          <w14:ligatures w14:val="none"/>
        </w:rPr>
        <w:t>English Historical Review</w:t>
      </w:r>
      <w:r w:rsidRPr="00C31F0C">
        <w:rPr>
          <w:rFonts w:eastAsia="Times New Roman" w:cs="Times New Roman"/>
          <w:kern w:val="0"/>
          <w:szCs w:val="24"/>
          <w:lang w:eastAsia="en-AU"/>
          <w14:ligatures w14:val="none"/>
        </w:rPr>
        <w:t>, 82 (1967), pp. 323-32.</w:t>
      </w:r>
    </w:p>
    <w:p w14:paraId="16BFFEC3"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9" w:name="NOTE11"/>
      <w:bookmarkEnd w:id="9"/>
      <w:r w:rsidRPr="00C31F0C">
        <w:rPr>
          <w:rFonts w:eastAsia="Times New Roman" w:cs="Times New Roman"/>
          <w:b/>
          <w:bCs/>
          <w:kern w:val="0"/>
          <w:szCs w:val="24"/>
          <w:lang w:eastAsia="en-AU"/>
          <w14:ligatures w14:val="none"/>
        </w:rPr>
        <w:t>Note 11.</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Epistola ad Fratres Minores</w:t>
      </w:r>
      <w:r w:rsidRPr="00C31F0C">
        <w:rPr>
          <w:rFonts w:eastAsia="Times New Roman" w:cs="Times New Roman"/>
          <w:kern w:val="0"/>
          <w:szCs w:val="24"/>
          <w:lang w:eastAsia="en-AU"/>
          <w14:ligatures w14:val="none"/>
        </w:rPr>
        <w:t xml:space="preserve"> (EFM), </w:t>
      </w:r>
      <w:r w:rsidRPr="00C31F0C">
        <w:rPr>
          <w:rFonts w:eastAsia="Times New Roman" w:cs="Times New Roman"/>
          <w:i/>
          <w:iCs/>
          <w:kern w:val="0"/>
          <w:szCs w:val="24"/>
          <w:lang w:eastAsia="en-AU"/>
          <w14:ligatures w14:val="none"/>
        </w:rPr>
        <w:t>Contra Ioannem</w:t>
      </w:r>
      <w:r w:rsidRPr="00C31F0C">
        <w:rPr>
          <w:rFonts w:eastAsia="Times New Roman" w:cs="Times New Roman"/>
          <w:kern w:val="0"/>
          <w:szCs w:val="24"/>
          <w:lang w:eastAsia="en-AU"/>
          <w14:ligatures w14:val="none"/>
        </w:rPr>
        <w:t xml:space="preserve"> (CI) and </w:t>
      </w:r>
      <w:r w:rsidRPr="00C31F0C">
        <w:rPr>
          <w:rFonts w:eastAsia="Times New Roman" w:cs="Times New Roman"/>
          <w:i/>
          <w:iCs/>
          <w:kern w:val="0"/>
          <w:szCs w:val="24"/>
          <w:lang w:eastAsia="en-AU"/>
          <w14:ligatures w14:val="none"/>
        </w:rPr>
        <w:t>Contra Benedictum</w:t>
      </w:r>
      <w:r w:rsidRPr="00C31F0C">
        <w:rPr>
          <w:rFonts w:eastAsia="Times New Roman" w:cs="Times New Roman"/>
          <w:kern w:val="0"/>
          <w:szCs w:val="24"/>
          <w:lang w:eastAsia="en-AU"/>
          <w14:ligatures w14:val="none"/>
        </w:rPr>
        <w:t xml:space="preserve"> (CB) in OP, vol. 3.</w:t>
      </w:r>
    </w:p>
    <w:p w14:paraId="5E9D3F34"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0" w:name="NOTE12"/>
      <w:bookmarkEnd w:id="10"/>
      <w:r w:rsidRPr="00C31F0C">
        <w:rPr>
          <w:rFonts w:eastAsia="Times New Roman" w:cs="Times New Roman"/>
          <w:b/>
          <w:bCs/>
          <w:kern w:val="0"/>
          <w:szCs w:val="24"/>
          <w:lang w:eastAsia="en-AU"/>
          <w14:ligatures w14:val="none"/>
        </w:rPr>
        <w:t>Note 12.</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Breviloquium</w:t>
      </w:r>
      <w:r w:rsidRPr="00C31F0C">
        <w:rPr>
          <w:rFonts w:eastAsia="Times New Roman" w:cs="Times New Roman"/>
          <w:kern w:val="0"/>
          <w:szCs w:val="24"/>
          <w:lang w:eastAsia="en-AU"/>
          <w14:ligatures w14:val="none"/>
        </w:rPr>
        <w:t xml:space="preserve"> (Brev.), in R. Sholz, </w:t>
      </w:r>
      <w:r w:rsidRPr="00C31F0C">
        <w:rPr>
          <w:rFonts w:eastAsia="Times New Roman" w:cs="Times New Roman"/>
          <w:i/>
          <w:iCs/>
          <w:kern w:val="0"/>
          <w:szCs w:val="24"/>
          <w:lang w:eastAsia="en-AU"/>
          <w14:ligatures w14:val="none"/>
        </w:rPr>
        <w:t>Wilhelm von Ockham als politischer Denker und sein Breviloquium de principatu tyrannico</w:t>
      </w:r>
      <w:r w:rsidRPr="00C31F0C">
        <w:rPr>
          <w:rFonts w:eastAsia="Times New Roman" w:cs="Times New Roman"/>
          <w:kern w:val="0"/>
          <w:szCs w:val="24"/>
          <w:lang w:eastAsia="en-AU"/>
          <w14:ligatures w14:val="none"/>
        </w:rPr>
        <w:t xml:space="preserve"> (Stuttgart, 1952). See </w:t>
      </w:r>
      <w:r w:rsidRPr="00C31F0C">
        <w:rPr>
          <w:rFonts w:eastAsia="Times New Roman" w:cs="Times New Roman"/>
          <w:i/>
          <w:iCs/>
          <w:kern w:val="0"/>
          <w:szCs w:val="24"/>
          <w:lang w:eastAsia="en-AU"/>
          <w14:ligatures w14:val="none"/>
        </w:rPr>
        <w:t>A Short Discourse on Tyrannical Government</w:t>
      </w:r>
      <w:r w:rsidRPr="00C31F0C">
        <w:rPr>
          <w:rFonts w:eastAsia="Times New Roman" w:cs="Times New Roman"/>
          <w:kern w:val="0"/>
          <w:szCs w:val="24"/>
          <w:lang w:eastAsia="en-AU"/>
          <w14:ligatures w14:val="none"/>
        </w:rPr>
        <w:t>, ed. Arthur Stephen McGrade, tr. John Kilcullen (Cambridge, 1992).</w:t>
      </w:r>
    </w:p>
    <w:p w14:paraId="518E88DA"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1" w:name="NOTE13"/>
      <w:bookmarkEnd w:id="11"/>
      <w:r w:rsidRPr="00C31F0C">
        <w:rPr>
          <w:rFonts w:eastAsia="Times New Roman" w:cs="Times New Roman"/>
          <w:b/>
          <w:bCs/>
          <w:kern w:val="0"/>
          <w:szCs w:val="24"/>
          <w:lang w:eastAsia="en-AU"/>
          <w14:ligatures w14:val="none"/>
        </w:rPr>
        <w:t>Note 13.</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De Imperatorum et pontificum potestate</w:t>
      </w:r>
      <w:r w:rsidRPr="00C31F0C">
        <w:rPr>
          <w:rFonts w:eastAsia="Times New Roman" w:cs="Times New Roman"/>
          <w:kern w:val="0"/>
          <w:szCs w:val="24"/>
          <w:lang w:eastAsia="en-AU"/>
          <w14:ligatures w14:val="none"/>
        </w:rPr>
        <w:t xml:space="preserve">, (IPP) in R. Scholz, </w:t>
      </w:r>
      <w:r w:rsidRPr="00C31F0C">
        <w:rPr>
          <w:rFonts w:eastAsia="Times New Roman" w:cs="Times New Roman"/>
          <w:i/>
          <w:iCs/>
          <w:kern w:val="0"/>
          <w:szCs w:val="24"/>
          <w:lang w:eastAsia="en-AU"/>
          <w14:ligatures w14:val="none"/>
        </w:rPr>
        <w:t>Unbekannte kirchenpolitische Streitschriften aus der Zeit Ludwigs des Bayern</w:t>
      </w:r>
      <w:r w:rsidRPr="00C31F0C">
        <w:rPr>
          <w:rFonts w:eastAsia="Times New Roman" w:cs="Times New Roman"/>
          <w:kern w:val="0"/>
          <w:szCs w:val="24"/>
          <w:lang w:eastAsia="en-AU"/>
          <w14:ligatures w14:val="none"/>
        </w:rPr>
        <w:t xml:space="preserve"> (Rome, 1911, 1914). Translations of extracts from this work, and also from Dial., are included in E. Lewis, </w:t>
      </w:r>
      <w:r w:rsidRPr="00C31F0C">
        <w:rPr>
          <w:rFonts w:eastAsia="Times New Roman" w:cs="Times New Roman"/>
          <w:i/>
          <w:iCs/>
          <w:kern w:val="0"/>
          <w:szCs w:val="24"/>
          <w:lang w:eastAsia="en-AU"/>
          <w14:ligatures w14:val="none"/>
        </w:rPr>
        <w:t>Medieval Political Ideas</w:t>
      </w:r>
      <w:r w:rsidRPr="00C31F0C">
        <w:rPr>
          <w:rFonts w:eastAsia="Times New Roman" w:cs="Times New Roman"/>
          <w:kern w:val="0"/>
          <w:szCs w:val="24"/>
          <w:lang w:eastAsia="en-AU"/>
          <w14:ligatures w14:val="none"/>
        </w:rPr>
        <w:t xml:space="preserve"> (London, 1954).</w:t>
      </w:r>
    </w:p>
    <w:p w14:paraId="642500AA"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2" w:name="NOTE14"/>
      <w:bookmarkEnd w:id="12"/>
      <w:r w:rsidRPr="00C31F0C">
        <w:rPr>
          <w:rFonts w:eastAsia="Times New Roman" w:cs="Times New Roman"/>
          <w:b/>
          <w:bCs/>
          <w:kern w:val="0"/>
          <w:szCs w:val="24"/>
          <w:lang w:eastAsia="en-AU"/>
          <w14:ligatures w14:val="none"/>
        </w:rPr>
        <w:t>Note 14.</w:t>
      </w:r>
      <w:r w:rsidRPr="00C31F0C">
        <w:rPr>
          <w:rFonts w:eastAsia="Times New Roman" w:cs="Times New Roman"/>
          <w:kern w:val="0"/>
          <w:szCs w:val="24"/>
          <w:lang w:eastAsia="en-AU"/>
          <w14:ligatures w14:val="none"/>
        </w:rPr>
        <w:t xml:space="preserve"> See </w:t>
      </w:r>
      <w:r w:rsidRPr="00C31F0C">
        <w:rPr>
          <w:rFonts w:eastAsia="Times New Roman" w:cs="Times New Roman"/>
          <w:i/>
          <w:iCs/>
          <w:kern w:val="0"/>
          <w:szCs w:val="24"/>
          <w:lang w:eastAsia="en-AU"/>
          <w14:ligatures w14:val="none"/>
        </w:rPr>
        <w:t>Opera plurima</w:t>
      </w:r>
      <w:r w:rsidRPr="00C31F0C">
        <w:rPr>
          <w:rFonts w:eastAsia="Times New Roman" w:cs="Times New Roman"/>
          <w:kern w:val="0"/>
          <w:szCs w:val="24"/>
          <w:lang w:eastAsia="en-AU"/>
          <w14:ligatures w14:val="none"/>
        </w:rPr>
        <w:t>, cited above.</w:t>
      </w:r>
    </w:p>
    <w:p w14:paraId="7A97620E"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3" w:name="NOTE15"/>
      <w:bookmarkEnd w:id="13"/>
      <w:r w:rsidRPr="00C31F0C">
        <w:rPr>
          <w:rFonts w:eastAsia="Times New Roman" w:cs="Times New Roman"/>
          <w:b/>
          <w:bCs/>
          <w:kern w:val="0"/>
          <w:szCs w:val="24"/>
          <w:lang w:eastAsia="en-AU"/>
          <w14:ligatures w14:val="none"/>
        </w:rPr>
        <w:t>Note 15.</w:t>
      </w:r>
      <w:r w:rsidRPr="00C31F0C">
        <w:rPr>
          <w:rFonts w:eastAsia="Times New Roman" w:cs="Times New Roman"/>
          <w:kern w:val="0"/>
          <w:szCs w:val="24"/>
          <w:lang w:eastAsia="en-AU"/>
          <w14:ligatures w14:val="none"/>
        </w:rPr>
        <w:t xml:space="preserve"> See F. Oakley, 'On the Road from Constance to 1688', </w:t>
      </w:r>
      <w:r w:rsidRPr="00C31F0C">
        <w:rPr>
          <w:rFonts w:eastAsia="Times New Roman" w:cs="Times New Roman"/>
          <w:i/>
          <w:iCs/>
          <w:kern w:val="0"/>
          <w:szCs w:val="24"/>
          <w:lang w:eastAsia="en-AU"/>
          <w14:ligatures w14:val="none"/>
        </w:rPr>
        <w:t>Journal of British Studies</w:t>
      </w:r>
      <w:r w:rsidRPr="00C31F0C">
        <w:rPr>
          <w:rFonts w:eastAsia="Times New Roman" w:cs="Times New Roman"/>
          <w:kern w:val="0"/>
          <w:szCs w:val="24"/>
          <w:lang w:eastAsia="en-AU"/>
          <w14:ligatures w14:val="none"/>
        </w:rPr>
        <w:t xml:space="preserve">, 1 (No. 2, 1962), pp. 1-31. For an anticipation by Ockham of the main argument of Locke's </w:t>
      </w:r>
      <w:r w:rsidRPr="00C31F0C">
        <w:rPr>
          <w:rFonts w:eastAsia="Times New Roman" w:cs="Times New Roman"/>
          <w:i/>
          <w:iCs/>
          <w:kern w:val="0"/>
          <w:szCs w:val="24"/>
          <w:lang w:eastAsia="en-AU"/>
          <w14:ligatures w14:val="none"/>
        </w:rPr>
        <w:t>Second Treatise</w:t>
      </w:r>
      <w:r w:rsidRPr="00C31F0C">
        <w:rPr>
          <w:rFonts w:eastAsia="Times New Roman" w:cs="Times New Roman"/>
          <w:kern w:val="0"/>
          <w:szCs w:val="24"/>
          <w:lang w:eastAsia="en-AU"/>
          <w14:ligatures w14:val="none"/>
        </w:rPr>
        <w:t xml:space="preserve"> see Q. Skinner, </w:t>
      </w:r>
      <w:r w:rsidRPr="00C31F0C">
        <w:rPr>
          <w:rFonts w:eastAsia="Times New Roman" w:cs="Times New Roman"/>
          <w:i/>
          <w:iCs/>
          <w:kern w:val="0"/>
          <w:szCs w:val="24"/>
          <w:lang w:eastAsia="en-AU"/>
          <w14:ligatures w14:val="none"/>
        </w:rPr>
        <w:t>The Foundations of Modern Political Thought</w:t>
      </w:r>
      <w:r w:rsidRPr="00C31F0C">
        <w:rPr>
          <w:rFonts w:eastAsia="Times New Roman" w:cs="Times New Roman"/>
          <w:kern w:val="0"/>
          <w:szCs w:val="24"/>
          <w:lang w:eastAsia="en-AU"/>
          <w14:ligatures w14:val="none"/>
        </w:rPr>
        <w:t xml:space="preserve"> (Cambridge, 1978), vol. 2, pp. 123-6. On Ockham's political thought see E. F. Jacob, 'Ockham as a Political Thinker', in his </w:t>
      </w:r>
      <w:r w:rsidRPr="00C31F0C">
        <w:rPr>
          <w:rFonts w:eastAsia="Times New Roman" w:cs="Times New Roman"/>
          <w:i/>
          <w:iCs/>
          <w:kern w:val="0"/>
          <w:szCs w:val="24"/>
          <w:lang w:eastAsia="en-AU"/>
          <w14:ligatures w14:val="none"/>
        </w:rPr>
        <w:t>Essays in the Concilar Epoch</w:t>
      </w:r>
      <w:r w:rsidRPr="00C31F0C">
        <w:rPr>
          <w:rFonts w:eastAsia="Times New Roman" w:cs="Times New Roman"/>
          <w:kern w:val="0"/>
          <w:szCs w:val="24"/>
          <w:lang w:eastAsia="en-AU"/>
          <w14:ligatures w14:val="none"/>
        </w:rPr>
        <w:t xml:space="preserve"> (Manchester, 1943), C. C. Bayley, 'Pivotal Concepts in the Political Philosophy of William of Ockham', </w:t>
      </w:r>
      <w:r w:rsidRPr="00C31F0C">
        <w:rPr>
          <w:rFonts w:eastAsia="Times New Roman" w:cs="Times New Roman"/>
          <w:i/>
          <w:iCs/>
          <w:kern w:val="0"/>
          <w:szCs w:val="24"/>
          <w:lang w:eastAsia="en-AU"/>
          <w14:ligatures w14:val="none"/>
        </w:rPr>
        <w:t>Journal of the History of Ideas</w:t>
      </w:r>
      <w:r w:rsidRPr="00C31F0C">
        <w:rPr>
          <w:rFonts w:eastAsia="Times New Roman" w:cs="Times New Roman"/>
          <w:kern w:val="0"/>
          <w:szCs w:val="24"/>
          <w:lang w:eastAsia="en-AU"/>
          <w14:ligatures w14:val="none"/>
        </w:rPr>
        <w:t xml:space="preserve">, 10 (1949), pp. 199-218, and A. S. McGrade, </w:t>
      </w:r>
      <w:r w:rsidRPr="00C31F0C">
        <w:rPr>
          <w:rFonts w:eastAsia="Times New Roman" w:cs="Times New Roman"/>
          <w:i/>
          <w:iCs/>
          <w:kern w:val="0"/>
          <w:szCs w:val="24"/>
          <w:lang w:eastAsia="en-AU"/>
          <w14:ligatures w14:val="none"/>
        </w:rPr>
        <w:t>The Political Thought of William of Ockham</w:t>
      </w:r>
      <w:r w:rsidRPr="00C31F0C">
        <w:rPr>
          <w:rFonts w:eastAsia="Times New Roman" w:cs="Times New Roman"/>
          <w:kern w:val="0"/>
          <w:szCs w:val="24"/>
          <w:lang w:eastAsia="en-AU"/>
          <w14:ligatures w14:val="none"/>
        </w:rPr>
        <w:t xml:space="preserve"> (Cambridge, 1974).</w:t>
      </w:r>
    </w:p>
    <w:p w14:paraId="1C99AD4C"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4" w:name="NOTE16"/>
      <w:bookmarkEnd w:id="14"/>
      <w:r w:rsidRPr="00C31F0C">
        <w:rPr>
          <w:rFonts w:eastAsia="Times New Roman" w:cs="Times New Roman"/>
          <w:b/>
          <w:bCs/>
          <w:kern w:val="0"/>
          <w:szCs w:val="24"/>
          <w:lang w:eastAsia="en-AU"/>
          <w14:ligatures w14:val="none"/>
        </w:rPr>
        <w:lastRenderedPageBreak/>
        <w:t>Note 16.</w:t>
      </w:r>
      <w:r w:rsidRPr="00C31F0C">
        <w:rPr>
          <w:rFonts w:eastAsia="Times New Roman" w:cs="Times New Roman"/>
          <w:kern w:val="0"/>
          <w:szCs w:val="24"/>
          <w:lang w:eastAsia="en-AU"/>
          <w14:ligatures w14:val="none"/>
        </w:rPr>
        <w:t xml:space="preserve"> G. Gal, 'William of Ockham died impenitent in April, 1347', </w:t>
      </w:r>
      <w:r w:rsidRPr="00C31F0C">
        <w:rPr>
          <w:rFonts w:eastAsia="Times New Roman" w:cs="Times New Roman"/>
          <w:i/>
          <w:iCs/>
          <w:kern w:val="0"/>
          <w:szCs w:val="24"/>
          <w:lang w:eastAsia="en-AU"/>
          <w14:ligatures w14:val="none"/>
        </w:rPr>
        <w:t>Franciscan Studies</w:t>
      </w:r>
      <w:r w:rsidRPr="00C31F0C">
        <w:rPr>
          <w:rFonts w:eastAsia="Times New Roman" w:cs="Times New Roman"/>
          <w:kern w:val="0"/>
          <w:szCs w:val="24"/>
          <w:lang w:eastAsia="en-AU"/>
          <w14:ligatures w14:val="none"/>
        </w:rPr>
        <w:t>, 43 (1983), pp. 90-6.</w:t>
      </w:r>
    </w:p>
    <w:p w14:paraId="4E99F9FA"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5" w:name="NOTE17"/>
      <w:bookmarkEnd w:id="15"/>
      <w:r w:rsidRPr="00C31F0C">
        <w:rPr>
          <w:rFonts w:eastAsia="Times New Roman" w:cs="Times New Roman"/>
          <w:b/>
          <w:bCs/>
          <w:kern w:val="0"/>
          <w:szCs w:val="24"/>
          <w:lang w:eastAsia="en-AU"/>
          <w14:ligatures w14:val="none"/>
        </w:rPr>
        <w:t>Note 17.</w:t>
      </w:r>
      <w:r w:rsidRPr="00C31F0C">
        <w:rPr>
          <w:rFonts w:eastAsia="Times New Roman" w:cs="Times New Roman"/>
          <w:kern w:val="0"/>
          <w:szCs w:val="24"/>
          <w:lang w:eastAsia="en-AU"/>
          <w14:ligatures w14:val="none"/>
        </w:rPr>
        <w:t xml:space="preserve"> See P. Boehner, </w:t>
      </w:r>
      <w:r w:rsidRPr="00C31F0C">
        <w:rPr>
          <w:rFonts w:eastAsia="Times New Roman" w:cs="Times New Roman"/>
          <w:i/>
          <w:iCs/>
          <w:kern w:val="0"/>
          <w:szCs w:val="24"/>
          <w:lang w:eastAsia="en-AU"/>
          <w14:ligatures w14:val="none"/>
        </w:rPr>
        <w:t>Collected Articles on Ockham</w:t>
      </w:r>
      <w:r w:rsidRPr="00C31F0C">
        <w:rPr>
          <w:rFonts w:eastAsia="Times New Roman" w:cs="Times New Roman"/>
          <w:kern w:val="0"/>
          <w:szCs w:val="24"/>
          <w:lang w:eastAsia="en-AU"/>
          <w14:ligatures w14:val="none"/>
        </w:rPr>
        <w:t xml:space="preserve"> (St Bonaventure, 1958); W. J. Courtenay and K. H. Tachau, 'Ockham, Ockhamists and the English-German Nation at Paris, 1339-1341', </w:t>
      </w:r>
      <w:r w:rsidRPr="00C31F0C">
        <w:rPr>
          <w:rFonts w:eastAsia="Times New Roman" w:cs="Times New Roman"/>
          <w:i/>
          <w:iCs/>
          <w:kern w:val="0"/>
          <w:szCs w:val="24"/>
          <w:lang w:eastAsia="en-AU"/>
          <w14:ligatures w14:val="none"/>
        </w:rPr>
        <w:t>History of Universities</w:t>
      </w:r>
      <w:r w:rsidRPr="00C31F0C">
        <w:rPr>
          <w:rFonts w:eastAsia="Times New Roman" w:cs="Times New Roman"/>
          <w:kern w:val="0"/>
          <w:szCs w:val="24"/>
          <w:lang w:eastAsia="en-AU"/>
          <w14:ligatures w14:val="none"/>
        </w:rPr>
        <w:t xml:space="preserve">, 2 (1982), pp. 53-96; W. J. Courtenay, </w:t>
      </w:r>
      <w:r w:rsidRPr="00C31F0C">
        <w:rPr>
          <w:rFonts w:eastAsia="Times New Roman" w:cs="Times New Roman"/>
          <w:i/>
          <w:iCs/>
          <w:kern w:val="0"/>
          <w:szCs w:val="24"/>
          <w:lang w:eastAsia="en-AU"/>
          <w14:ligatures w14:val="none"/>
        </w:rPr>
        <w:t>Schools and Scholars in Fourteenth-Century England</w:t>
      </w:r>
      <w:r w:rsidRPr="00C31F0C">
        <w:rPr>
          <w:rFonts w:eastAsia="Times New Roman" w:cs="Times New Roman"/>
          <w:kern w:val="0"/>
          <w:szCs w:val="24"/>
          <w:lang w:eastAsia="en-AU"/>
          <w14:ligatures w14:val="none"/>
        </w:rPr>
        <w:t xml:space="preserve"> (Princeton, 1987), ch. 7. For a thorough critical analysis of Ockham's philosophy and theology see Marilyn M. Adams, </w:t>
      </w:r>
      <w:r w:rsidRPr="00C31F0C">
        <w:rPr>
          <w:rFonts w:eastAsia="Times New Roman" w:cs="Times New Roman"/>
          <w:i/>
          <w:iCs/>
          <w:kern w:val="0"/>
          <w:szCs w:val="24"/>
          <w:lang w:eastAsia="en-AU"/>
          <w14:ligatures w14:val="none"/>
        </w:rPr>
        <w:t>William of Ockham</w:t>
      </w:r>
      <w:r w:rsidRPr="00C31F0C">
        <w:rPr>
          <w:rFonts w:eastAsia="Times New Roman" w:cs="Times New Roman"/>
          <w:kern w:val="0"/>
          <w:szCs w:val="24"/>
          <w:lang w:eastAsia="en-AU"/>
          <w14:ligatures w14:val="none"/>
        </w:rPr>
        <w:t xml:space="preserve"> (Notre Dame, 1987).</w:t>
      </w:r>
    </w:p>
    <w:p w14:paraId="0417BC99"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6" w:name="NOTE18"/>
      <w:bookmarkEnd w:id="16"/>
      <w:r w:rsidRPr="00C31F0C">
        <w:rPr>
          <w:rFonts w:eastAsia="Times New Roman" w:cs="Times New Roman"/>
          <w:b/>
          <w:bCs/>
          <w:kern w:val="0"/>
          <w:szCs w:val="24"/>
          <w:lang w:eastAsia="en-AU"/>
          <w14:ligatures w14:val="none"/>
        </w:rPr>
        <w:t>Note 18.</w:t>
      </w:r>
      <w:r w:rsidRPr="00C31F0C">
        <w:rPr>
          <w:rFonts w:eastAsia="Times New Roman" w:cs="Times New Roman"/>
          <w:kern w:val="0"/>
          <w:szCs w:val="24"/>
          <w:lang w:eastAsia="en-AU"/>
          <w14:ligatures w14:val="none"/>
        </w:rPr>
        <w:t xml:space="preserve"> Brian Tierney, </w:t>
      </w:r>
      <w:r w:rsidRPr="00C31F0C">
        <w:rPr>
          <w:rFonts w:eastAsia="Times New Roman" w:cs="Times New Roman"/>
          <w:i/>
          <w:iCs/>
          <w:kern w:val="0"/>
          <w:szCs w:val="24"/>
          <w:lang w:eastAsia="en-AU"/>
          <w14:ligatures w14:val="none"/>
        </w:rPr>
        <w:t>Origins of Papal Infallibility 1150-1350: a Study on the Concepts of Infallibility, Sovereignty and Tradition in the Middle Ages</w:t>
      </w:r>
      <w:r w:rsidRPr="00C31F0C">
        <w:rPr>
          <w:rFonts w:eastAsia="Times New Roman" w:cs="Times New Roman"/>
          <w:kern w:val="0"/>
          <w:szCs w:val="24"/>
          <w:lang w:eastAsia="en-AU"/>
          <w14:ligatures w14:val="none"/>
        </w:rPr>
        <w:t xml:space="preserve"> (Leiden, 1972). Page references in my text will refer to this book.</w:t>
      </w:r>
    </w:p>
    <w:p w14:paraId="1DAAE5B8"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7" w:name="NOTE19"/>
      <w:bookmarkEnd w:id="17"/>
      <w:r w:rsidRPr="00C31F0C">
        <w:rPr>
          <w:rFonts w:eastAsia="Times New Roman" w:cs="Times New Roman"/>
          <w:b/>
          <w:bCs/>
          <w:kern w:val="0"/>
          <w:szCs w:val="24"/>
          <w:lang w:eastAsia="en-AU"/>
          <w14:ligatures w14:val="none"/>
        </w:rPr>
        <w:t>Note 19.</w:t>
      </w:r>
      <w:r w:rsidRPr="00C31F0C">
        <w:rPr>
          <w:rFonts w:eastAsia="Times New Roman" w:cs="Times New Roman"/>
          <w:kern w:val="0"/>
          <w:szCs w:val="24"/>
          <w:lang w:eastAsia="en-AU"/>
          <w14:ligatures w14:val="none"/>
        </w:rPr>
        <w:t xml:space="preserve"> Professor Tierney's interpretation has also been criticised by Professor J. J. Ryan in: 'Ockham's Dilemma: Tierney's Ambiguous Infallibility and Ockham's Ambiguous Church', </w:t>
      </w:r>
      <w:r w:rsidRPr="00C31F0C">
        <w:rPr>
          <w:rFonts w:eastAsia="Times New Roman" w:cs="Times New Roman"/>
          <w:i/>
          <w:iCs/>
          <w:kern w:val="0"/>
          <w:szCs w:val="24"/>
          <w:lang w:eastAsia="en-AU"/>
          <w14:ligatures w14:val="none"/>
        </w:rPr>
        <w:t>Journal of Ecumenical Studies</w:t>
      </w:r>
      <w:r w:rsidRPr="00C31F0C">
        <w:rPr>
          <w:rFonts w:eastAsia="Times New Roman" w:cs="Times New Roman"/>
          <w:kern w:val="0"/>
          <w:szCs w:val="24"/>
          <w:lang w:eastAsia="en-AU"/>
          <w14:ligatures w14:val="none"/>
        </w:rPr>
        <w:t xml:space="preserve">, 13 (1976), pp.37-50 (hereafter 'Dilemma'); </w:t>
      </w:r>
      <w:r w:rsidRPr="00C31F0C">
        <w:rPr>
          <w:rFonts w:eastAsia="Times New Roman" w:cs="Times New Roman"/>
          <w:i/>
          <w:iCs/>
          <w:kern w:val="0"/>
          <w:szCs w:val="24"/>
          <w:lang w:eastAsia="en-AU"/>
          <w14:ligatures w14:val="none"/>
        </w:rPr>
        <w:t>The Nature, Structure and Function of the Church in William of Ockham</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American Academy of Religion Studies in Religion</w:t>
      </w:r>
      <w:r w:rsidRPr="00C31F0C">
        <w:rPr>
          <w:rFonts w:eastAsia="Times New Roman" w:cs="Times New Roman"/>
          <w:kern w:val="0"/>
          <w:szCs w:val="24"/>
          <w:lang w:eastAsia="en-AU"/>
          <w14:ligatures w14:val="none"/>
        </w:rPr>
        <w:t xml:space="preserve"> 16 (Missoula, 1979) (hereafter </w:t>
      </w:r>
      <w:r w:rsidRPr="00C31F0C">
        <w:rPr>
          <w:rFonts w:eastAsia="Times New Roman" w:cs="Times New Roman"/>
          <w:i/>
          <w:iCs/>
          <w:kern w:val="0"/>
          <w:szCs w:val="24"/>
          <w:lang w:eastAsia="en-AU"/>
          <w14:ligatures w14:val="none"/>
        </w:rPr>
        <w:t>Nature</w:t>
      </w:r>
      <w:r w:rsidRPr="00C31F0C">
        <w:rPr>
          <w:rFonts w:eastAsia="Times New Roman" w:cs="Times New Roman"/>
          <w:kern w:val="0"/>
          <w:szCs w:val="24"/>
          <w:lang w:eastAsia="en-AU"/>
          <w14:ligatures w14:val="none"/>
        </w:rPr>
        <w:t xml:space="preserve">); and 'Evasion and Ambiguity: Ockham and Tierney's Ockham', </w:t>
      </w:r>
      <w:r w:rsidRPr="00C31F0C">
        <w:rPr>
          <w:rFonts w:eastAsia="Times New Roman" w:cs="Times New Roman"/>
          <w:i/>
          <w:iCs/>
          <w:kern w:val="0"/>
          <w:szCs w:val="24"/>
          <w:lang w:eastAsia="en-AU"/>
          <w14:ligatures w14:val="none"/>
        </w:rPr>
        <w:t>Franciscan Studies</w:t>
      </w:r>
      <w:r w:rsidRPr="00C31F0C">
        <w:rPr>
          <w:rFonts w:eastAsia="Times New Roman" w:cs="Times New Roman"/>
          <w:kern w:val="0"/>
          <w:szCs w:val="24"/>
          <w:lang w:eastAsia="en-AU"/>
          <w14:ligatures w14:val="none"/>
        </w:rPr>
        <w:t xml:space="preserve">, 46 (1986), pp. 285-294. Professor Tierney has replied in 'Ockham's Ambiguous Infallibility', </w:t>
      </w:r>
      <w:r w:rsidRPr="00C31F0C">
        <w:rPr>
          <w:rFonts w:eastAsia="Times New Roman" w:cs="Times New Roman"/>
          <w:i/>
          <w:iCs/>
          <w:kern w:val="0"/>
          <w:szCs w:val="24"/>
          <w:lang w:eastAsia="en-AU"/>
          <w14:ligatures w14:val="none"/>
        </w:rPr>
        <w:t>Journal of Ecumenical Studies</w:t>
      </w:r>
      <w:r w:rsidRPr="00C31F0C">
        <w:rPr>
          <w:rFonts w:eastAsia="Times New Roman" w:cs="Times New Roman"/>
          <w:kern w:val="0"/>
          <w:szCs w:val="24"/>
          <w:lang w:eastAsia="en-AU"/>
          <w14:ligatures w14:val="none"/>
        </w:rPr>
        <w:t xml:space="preserve">, 14 (1977), pp. 102-5, and 'Ockham's Infallibility and Ryan's Infallibility', </w:t>
      </w:r>
      <w:r w:rsidRPr="00C31F0C">
        <w:rPr>
          <w:rFonts w:eastAsia="Times New Roman" w:cs="Times New Roman"/>
          <w:i/>
          <w:iCs/>
          <w:kern w:val="0"/>
          <w:szCs w:val="24"/>
          <w:lang w:eastAsia="en-AU"/>
          <w14:ligatures w14:val="none"/>
        </w:rPr>
        <w:t>Franciscan Studies</w:t>
      </w:r>
      <w:r w:rsidRPr="00C31F0C">
        <w:rPr>
          <w:rFonts w:eastAsia="Times New Roman" w:cs="Times New Roman"/>
          <w:kern w:val="0"/>
          <w:szCs w:val="24"/>
          <w:lang w:eastAsia="en-AU"/>
          <w14:ligatures w14:val="none"/>
        </w:rPr>
        <w:t>, 46 (1986), pp. 295-300.</w:t>
      </w:r>
    </w:p>
    <w:p w14:paraId="403B76CC"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8" w:name="NOTE20"/>
      <w:bookmarkEnd w:id="18"/>
      <w:r w:rsidRPr="00C31F0C">
        <w:rPr>
          <w:rFonts w:eastAsia="Times New Roman" w:cs="Times New Roman"/>
          <w:b/>
          <w:bCs/>
          <w:kern w:val="0"/>
          <w:szCs w:val="24"/>
          <w:lang w:eastAsia="en-AU"/>
          <w14:ligatures w14:val="none"/>
        </w:rPr>
        <w:t>Note 20.</w:t>
      </w:r>
      <w:r w:rsidRPr="00C31F0C">
        <w:rPr>
          <w:rFonts w:eastAsia="Times New Roman" w:cs="Times New Roman"/>
          <w:kern w:val="0"/>
          <w:szCs w:val="24"/>
          <w:lang w:eastAsia="en-AU"/>
          <w14:ligatures w14:val="none"/>
        </w:rPr>
        <w:t xml:space="preserve"> See McGrade, </w:t>
      </w:r>
      <w:r w:rsidRPr="00C31F0C">
        <w:rPr>
          <w:rFonts w:eastAsia="Times New Roman" w:cs="Times New Roman"/>
          <w:i/>
          <w:iCs/>
          <w:kern w:val="0"/>
          <w:szCs w:val="24"/>
          <w:lang w:eastAsia="en-AU"/>
          <w14:ligatures w14:val="none"/>
        </w:rPr>
        <w:t>Political Thought</w:t>
      </w:r>
      <w:r w:rsidRPr="00C31F0C">
        <w:rPr>
          <w:rFonts w:eastAsia="Times New Roman" w:cs="Times New Roman"/>
          <w:kern w:val="0"/>
          <w:szCs w:val="24"/>
          <w:lang w:eastAsia="en-AU"/>
          <w14:ligatures w14:val="none"/>
        </w:rPr>
        <w:t>, p. 18, who refers to an unpublished thesis by G. Knysh.</w:t>
      </w:r>
    </w:p>
    <w:p w14:paraId="4449375E"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19" w:name="NOTE21"/>
      <w:bookmarkEnd w:id="19"/>
      <w:r w:rsidRPr="00C31F0C">
        <w:rPr>
          <w:rFonts w:eastAsia="Times New Roman" w:cs="Times New Roman"/>
          <w:b/>
          <w:bCs/>
          <w:kern w:val="0"/>
          <w:szCs w:val="24"/>
          <w:lang w:eastAsia="en-AU"/>
          <w14:ligatures w14:val="none"/>
        </w:rPr>
        <w:t>Note 21.</w:t>
      </w:r>
      <w:r w:rsidRPr="00C31F0C">
        <w:rPr>
          <w:rFonts w:eastAsia="Times New Roman" w:cs="Times New Roman"/>
          <w:kern w:val="0"/>
          <w:szCs w:val="24"/>
          <w:lang w:eastAsia="en-AU"/>
          <w14:ligatures w14:val="none"/>
        </w:rPr>
        <w:t xml:space="preserve"> I will give references to Ockham's work in parenthesis in the text. A reference of the form '36r b1-9' is to Dial., in this example to folio 36, recto, right-hand column, lines 1-9. (Measure lines with a marked slip, as if all lines were of ordinary type; 36v a5 reads 'videantur mihi difficile...', 37r a53 reads 'papa cupio scire...'.). Other references to Ockham's works will be by the short titles given </w:t>
      </w:r>
      <w:r w:rsidRPr="00C31F0C">
        <w:rPr>
          <w:rFonts w:eastAsia="Times New Roman" w:cs="Times New Roman"/>
          <w:kern w:val="0"/>
          <w:szCs w:val="24"/>
          <w:lang w:eastAsia="en-AU"/>
          <w14:ligatures w14:val="none"/>
        </w:rPr>
        <w:lastRenderedPageBreak/>
        <w:t>above followed by page and line numbers. Thus 'OND, 853.273' refers to p. 853, line 273.</w:t>
      </w:r>
    </w:p>
    <w:p w14:paraId="47DDE106"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0" w:name="NOTE22"/>
      <w:bookmarkEnd w:id="20"/>
      <w:r w:rsidRPr="00C31F0C">
        <w:rPr>
          <w:rFonts w:eastAsia="Times New Roman" w:cs="Times New Roman"/>
          <w:b/>
          <w:bCs/>
          <w:kern w:val="0"/>
          <w:szCs w:val="24"/>
          <w:lang w:eastAsia="en-AU"/>
          <w14:ligatures w14:val="none"/>
        </w:rPr>
        <w:t>Note 22.</w:t>
      </w:r>
      <w:r w:rsidRPr="00C31F0C">
        <w:rPr>
          <w:rFonts w:eastAsia="Times New Roman" w:cs="Times New Roman"/>
          <w:kern w:val="0"/>
          <w:szCs w:val="24"/>
          <w:lang w:eastAsia="en-AU"/>
          <w14:ligatures w14:val="none"/>
        </w:rPr>
        <w:t xml:space="preserve"> On 'all days' see Ryan, </w:t>
      </w:r>
      <w:r w:rsidRPr="00C31F0C">
        <w:rPr>
          <w:rFonts w:eastAsia="Times New Roman" w:cs="Times New Roman"/>
          <w:i/>
          <w:iCs/>
          <w:kern w:val="0"/>
          <w:szCs w:val="24"/>
          <w:lang w:eastAsia="en-AU"/>
          <w14:ligatures w14:val="none"/>
        </w:rPr>
        <w:t>Nature</w:t>
      </w:r>
      <w:r w:rsidRPr="00C31F0C">
        <w:rPr>
          <w:rFonts w:eastAsia="Times New Roman" w:cs="Times New Roman"/>
          <w:kern w:val="0"/>
          <w:szCs w:val="24"/>
          <w:lang w:eastAsia="en-AU"/>
          <w14:ligatures w14:val="none"/>
        </w:rPr>
        <w:t>, p. 34.</w:t>
      </w:r>
    </w:p>
    <w:p w14:paraId="260E6EC9"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1" w:name="NOTE23"/>
      <w:bookmarkEnd w:id="21"/>
      <w:r w:rsidRPr="00C31F0C">
        <w:rPr>
          <w:rFonts w:eastAsia="Times New Roman" w:cs="Times New Roman"/>
          <w:b/>
          <w:bCs/>
          <w:kern w:val="0"/>
          <w:szCs w:val="24"/>
          <w:lang w:eastAsia="en-AU"/>
          <w14:ligatures w14:val="none"/>
        </w:rPr>
        <w:t>Note 23.</w:t>
      </w:r>
      <w:r w:rsidRPr="00C31F0C">
        <w:rPr>
          <w:rFonts w:eastAsia="Times New Roman" w:cs="Times New Roman"/>
          <w:kern w:val="0"/>
          <w:szCs w:val="24"/>
          <w:lang w:eastAsia="en-AU"/>
          <w14:ligatures w14:val="none"/>
        </w:rPr>
        <w:t xml:space="preserve"> 'Day' must mean some time long enough for protest to become known. Ockham claims that the belief that the saints already enjoy the beatific vision has been held without dissent 'through the longest times' (CI, 67.36). All he need claim is that it was held without dissent for at least </w:t>
      </w:r>
      <w:r w:rsidRPr="00C31F0C">
        <w:rPr>
          <w:rFonts w:eastAsia="Times New Roman" w:cs="Times New Roman"/>
          <w:i/>
          <w:iCs/>
          <w:kern w:val="0"/>
          <w:szCs w:val="24"/>
          <w:lang w:eastAsia="en-AU"/>
          <w14:ligatures w14:val="none"/>
        </w:rPr>
        <w:t>some</w:t>
      </w:r>
      <w:r w:rsidRPr="00C31F0C">
        <w:rPr>
          <w:rFonts w:eastAsia="Times New Roman" w:cs="Times New Roman"/>
          <w:kern w:val="0"/>
          <w:szCs w:val="24"/>
          <w:lang w:eastAsia="en-AU"/>
          <w14:ligatures w14:val="none"/>
        </w:rPr>
        <w:t xml:space="preserve"> time before John XXII questioned it. How far back the consensus can be traced is not a vital question. Of course, the longer the time during which no dissent is heard the more certain it is that there has been a time during which there was no dissent. ('The longest times' does not mean absolutely from apostolic times. This is the language of the Roman law of prescription. See A. Berger, </w:t>
      </w:r>
      <w:r w:rsidRPr="00C31F0C">
        <w:rPr>
          <w:rFonts w:eastAsia="Times New Roman" w:cs="Times New Roman"/>
          <w:i/>
          <w:iCs/>
          <w:kern w:val="0"/>
          <w:szCs w:val="24"/>
          <w:lang w:eastAsia="en-AU"/>
          <w14:ligatures w14:val="none"/>
        </w:rPr>
        <w:t>Praescriptio longissimi temporis</w:t>
      </w:r>
      <w:r w:rsidRPr="00C31F0C">
        <w:rPr>
          <w:rFonts w:eastAsia="Times New Roman" w:cs="Times New Roman"/>
          <w:kern w:val="0"/>
          <w:szCs w:val="24"/>
          <w:lang w:eastAsia="en-AU"/>
          <w14:ligatures w14:val="none"/>
        </w:rPr>
        <w:t xml:space="preserve">, in his </w:t>
      </w:r>
      <w:r w:rsidRPr="00C31F0C">
        <w:rPr>
          <w:rFonts w:eastAsia="Times New Roman" w:cs="Times New Roman"/>
          <w:i/>
          <w:iCs/>
          <w:kern w:val="0"/>
          <w:szCs w:val="24"/>
          <w:lang w:eastAsia="en-AU"/>
          <w14:ligatures w14:val="none"/>
        </w:rPr>
        <w:t>Encyclopedic Dictionary of Roman Law</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Transactions of the American Philosophical Society</w:t>
      </w:r>
      <w:r w:rsidRPr="00C31F0C">
        <w:rPr>
          <w:rFonts w:eastAsia="Times New Roman" w:cs="Times New Roman"/>
          <w:kern w:val="0"/>
          <w:szCs w:val="24"/>
          <w:lang w:eastAsia="en-AU"/>
          <w14:ligatures w14:val="none"/>
        </w:rPr>
        <w:t>, 43.2 (1953), p. 645.)</w:t>
      </w:r>
    </w:p>
    <w:p w14:paraId="12BCD310"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2" w:name="NOTE24"/>
      <w:bookmarkEnd w:id="22"/>
      <w:r w:rsidRPr="00C31F0C">
        <w:rPr>
          <w:rFonts w:eastAsia="Times New Roman" w:cs="Times New Roman"/>
          <w:b/>
          <w:bCs/>
          <w:kern w:val="0"/>
          <w:szCs w:val="24"/>
          <w:lang w:eastAsia="en-AU"/>
          <w14:ligatures w14:val="none"/>
        </w:rPr>
        <w:t>Note 24.</w:t>
      </w:r>
      <w:r w:rsidRPr="00C31F0C">
        <w:rPr>
          <w:rFonts w:eastAsia="Times New Roman" w:cs="Times New Roman"/>
          <w:kern w:val="0"/>
          <w:szCs w:val="24"/>
          <w:lang w:eastAsia="en-AU"/>
          <w14:ligatures w14:val="none"/>
        </w:rPr>
        <w:t xml:space="preserve"> I can see no basis for Professor Ryan's attribution to Ockham of the view that 'the collectivity </w:t>
      </w:r>
      <w:r w:rsidRPr="00C31F0C">
        <w:rPr>
          <w:rFonts w:eastAsia="Times New Roman" w:cs="Times New Roman"/>
          <w:i/>
          <w:iCs/>
          <w:kern w:val="0"/>
          <w:szCs w:val="24"/>
          <w:lang w:eastAsia="en-AU"/>
          <w14:ligatures w14:val="none"/>
        </w:rPr>
        <w:t>grows</w:t>
      </w:r>
      <w:r w:rsidRPr="00C31F0C">
        <w:rPr>
          <w:rFonts w:eastAsia="Times New Roman" w:cs="Times New Roman"/>
          <w:kern w:val="0"/>
          <w:szCs w:val="24"/>
          <w:lang w:eastAsia="en-AU"/>
          <w14:ligatures w14:val="none"/>
        </w:rPr>
        <w:t xml:space="preserve"> and accumulates ever more authority... so that his [Christ's] words will be fully valid only for the whole that has accumulated throughout history' (</w:t>
      </w:r>
      <w:r w:rsidRPr="00C31F0C">
        <w:rPr>
          <w:rFonts w:eastAsia="Times New Roman" w:cs="Times New Roman"/>
          <w:i/>
          <w:iCs/>
          <w:kern w:val="0"/>
          <w:szCs w:val="24"/>
          <w:lang w:eastAsia="en-AU"/>
          <w14:ligatures w14:val="none"/>
        </w:rPr>
        <w:t>Nature</w:t>
      </w:r>
      <w:r w:rsidRPr="00C31F0C">
        <w:rPr>
          <w:rFonts w:eastAsia="Times New Roman" w:cs="Times New Roman"/>
          <w:kern w:val="0"/>
          <w:szCs w:val="24"/>
          <w:lang w:eastAsia="en-AU"/>
          <w14:ligatures w14:val="none"/>
        </w:rPr>
        <w:t>, p. 31).</w:t>
      </w:r>
    </w:p>
    <w:p w14:paraId="70F9CF92"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3" w:name="NOTE25"/>
      <w:bookmarkEnd w:id="23"/>
      <w:r w:rsidRPr="00C31F0C">
        <w:rPr>
          <w:rFonts w:eastAsia="Times New Roman" w:cs="Times New Roman"/>
          <w:b/>
          <w:bCs/>
          <w:kern w:val="0"/>
          <w:szCs w:val="24"/>
          <w:lang w:eastAsia="en-AU"/>
          <w14:ligatures w14:val="none"/>
        </w:rPr>
        <w:t>Note 25.</w:t>
      </w:r>
      <w:r w:rsidRPr="00C31F0C">
        <w:rPr>
          <w:rFonts w:eastAsia="Times New Roman" w:cs="Times New Roman"/>
          <w:kern w:val="0"/>
          <w:szCs w:val="24"/>
          <w:lang w:eastAsia="en-AU"/>
          <w14:ligatures w14:val="none"/>
        </w:rPr>
        <w:t xml:space="preserve"> On classes of Catholic truths and heresies see Tierney, p. 219-22.</w:t>
      </w:r>
    </w:p>
    <w:p w14:paraId="3A9D0E2C"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4" w:name="NOTE26"/>
      <w:bookmarkEnd w:id="24"/>
      <w:r w:rsidRPr="00C31F0C">
        <w:rPr>
          <w:rFonts w:eastAsia="Times New Roman" w:cs="Times New Roman"/>
          <w:b/>
          <w:bCs/>
          <w:kern w:val="0"/>
          <w:szCs w:val="24"/>
          <w:lang w:eastAsia="en-AU"/>
          <w14:ligatures w14:val="none"/>
        </w:rPr>
        <w:t>Note 26.</w:t>
      </w:r>
      <w:r w:rsidRPr="00C31F0C">
        <w:rPr>
          <w:rFonts w:eastAsia="Times New Roman" w:cs="Times New Roman"/>
          <w:kern w:val="0"/>
          <w:szCs w:val="24"/>
          <w:lang w:eastAsia="en-AU"/>
          <w14:ligatures w14:val="none"/>
        </w:rPr>
        <w:t xml:space="preserve"> This is true at least in respect of articles of faith which do not have to be believed explicitly. On those which do, see </w:t>
      </w:r>
      <w:hyperlink r:id="rId5" w:anchor="explicit" w:tgtFrame="text" w:history="1">
        <w:r w:rsidRPr="00C31F0C">
          <w:rPr>
            <w:rFonts w:eastAsia="Times New Roman" w:cs="Times New Roman"/>
            <w:color w:val="0000FF"/>
            <w:kern w:val="0"/>
            <w:szCs w:val="24"/>
            <w:u w:val="single"/>
            <w:lang w:eastAsia="en-AU"/>
            <w14:ligatures w14:val="none"/>
          </w:rPr>
          <w:t>below</w:t>
        </w:r>
      </w:hyperlink>
      <w:r w:rsidRPr="00C31F0C">
        <w:rPr>
          <w:rFonts w:eastAsia="Times New Roman" w:cs="Times New Roman"/>
          <w:kern w:val="0"/>
          <w:szCs w:val="24"/>
          <w:lang w:eastAsia="en-AU"/>
          <w14:ligatures w14:val="none"/>
        </w:rPr>
        <w:t>.</w:t>
      </w:r>
    </w:p>
    <w:p w14:paraId="36358AD2"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5" w:name="NOTE27"/>
      <w:bookmarkEnd w:id="25"/>
      <w:r w:rsidRPr="00C31F0C">
        <w:rPr>
          <w:rFonts w:eastAsia="Times New Roman" w:cs="Times New Roman"/>
          <w:b/>
          <w:bCs/>
          <w:kern w:val="0"/>
          <w:szCs w:val="24"/>
          <w:lang w:eastAsia="en-AU"/>
          <w14:ligatures w14:val="none"/>
        </w:rPr>
        <w:t>Note 27.</w:t>
      </w:r>
      <w:r w:rsidRPr="00C31F0C">
        <w:rPr>
          <w:rFonts w:eastAsia="Times New Roman" w:cs="Times New Roman"/>
          <w:kern w:val="0"/>
          <w:szCs w:val="24"/>
          <w:lang w:eastAsia="en-AU"/>
          <w14:ligatures w14:val="none"/>
        </w:rPr>
        <w:t xml:space="preserve"> 'Legitimate' here means 'as the law requires', before the accused can be properly convicted of heresy. Cf. Berger, </w:t>
      </w:r>
      <w:r w:rsidRPr="00C31F0C">
        <w:rPr>
          <w:rFonts w:eastAsia="Times New Roman" w:cs="Times New Roman"/>
          <w:i/>
          <w:iCs/>
          <w:kern w:val="0"/>
          <w:szCs w:val="24"/>
          <w:lang w:eastAsia="en-AU"/>
          <w14:ligatures w14:val="none"/>
        </w:rPr>
        <w:t>Legitimus</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op. cit</w:t>
      </w:r>
      <w:r w:rsidRPr="00C31F0C">
        <w:rPr>
          <w:rFonts w:eastAsia="Times New Roman" w:cs="Times New Roman"/>
          <w:kern w:val="0"/>
          <w:szCs w:val="24"/>
          <w:lang w:eastAsia="en-AU"/>
          <w14:ligatures w14:val="none"/>
        </w:rPr>
        <w:t>., p. 543.</w:t>
      </w:r>
    </w:p>
    <w:p w14:paraId="3F1B7627"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6" w:name="NOTE28"/>
      <w:bookmarkEnd w:id="26"/>
      <w:r w:rsidRPr="00C31F0C">
        <w:rPr>
          <w:rFonts w:eastAsia="Times New Roman" w:cs="Times New Roman"/>
          <w:b/>
          <w:bCs/>
          <w:kern w:val="0"/>
          <w:szCs w:val="24"/>
          <w:lang w:eastAsia="en-AU"/>
          <w14:ligatures w14:val="none"/>
        </w:rPr>
        <w:t>Note 28.</w:t>
      </w:r>
      <w:r w:rsidRPr="00C31F0C">
        <w:rPr>
          <w:rFonts w:eastAsia="Times New Roman" w:cs="Times New Roman"/>
          <w:kern w:val="0"/>
          <w:szCs w:val="24"/>
          <w:lang w:eastAsia="en-AU"/>
          <w14:ligatures w14:val="none"/>
        </w:rPr>
        <w:t xml:space="preserve"> On presumption see Berger, </w:t>
      </w:r>
      <w:r w:rsidRPr="00C31F0C">
        <w:rPr>
          <w:rFonts w:eastAsia="Times New Roman" w:cs="Times New Roman"/>
          <w:i/>
          <w:iCs/>
          <w:kern w:val="0"/>
          <w:szCs w:val="24"/>
          <w:lang w:eastAsia="en-AU"/>
          <w14:ligatures w14:val="none"/>
        </w:rPr>
        <w:t>Praesumptio</w:t>
      </w:r>
      <w:r w:rsidRPr="00C31F0C">
        <w:rPr>
          <w:rFonts w:eastAsia="Times New Roman" w:cs="Times New Roman"/>
          <w:kern w:val="0"/>
          <w:szCs w:val="24"/>
          <w:lang w:eastAsia="en-AU"/>
          <w14:ligatures w14:val="none"/>
        </w:rPr>
        <w:t xml:space="preserve">, </w:t>
      </w:r>
      <w:r w:rsidRPr="00C31F0C">
        <w:rPr>
          <w:rFonts w:eastAsia="Times New Roman" w:cs="Times New Roman"/>
          <w:i/>
          <w:iCs/>
          <w:kern w:val="0"/>
          <w:szCs w:val="24"/>
          <w:lang w:eastAsia="en-AU"/>
          <w14:ligatures w14:val="none"/>
        </w:rPr>
        <w:t>op. cit</w:t>
      </w:r>
      <w:r w:rsidRPr="00C31F0C">
        <w:rPr>
          <w:rFonts w:eastAsia="Times New Roman" w:cs="Times New Roman"/>
          <w:kern w:val="0"/>
          <w:szCs w:val="24"/>
          <w:lang w:eastAsia="en-AU"/>
          <w14:ligatures w14:val="none"/>
        </w:rPr>
        <w:t xml:space="preserve">., p. 646; also, Extra, </w:t>
      </w:r>
      <w:r w:rsidRPr="00C31F0C">
        <w:rPr>
          <w:rFonts w:eastAsia="Times New Roman" w:cs="Times New Roman"/>
          <w:i/>
          <w:iCs/>
          <w:kern w:val="0"/>
          <w:szCs w:val="24"/>
          <w:lang w:eastAsia="en-AU"/>
          <w14:ligatures w14:val="none"/>
        </w:rPr>
        <w:t>De presumptionibus</w:t>
      </w:r>
      <w:r w:rsidRPr="00C31F0C">
        <w:rPr>
          <w:rFonts w:eastAsia="Times New Roman" w:cs="Times New Roman"/>
          <w:kern w:val="0"/>
          <w:szCs w:val="24"/>
          <w:lang w:eastAsia="en-AU"/>
          <w14:ligatures w14:val="none"/>
        </w:rPr>
        <w:t xml:space="preserve">, c. </w:t>
      </w:r>
      <w:r w:rsidRPr="00C31F0C">
        <w:rPr>
          <w:rFonts w:eastAsia="Times New Roman" w:cs="Times New Roman"/>
          <w:i/>
          <w:iCs/>
          <w:kern w:val="0"/>
          <w:szCs w:val="24"/>
          <w:lang w:eastAsia="en-AU"/>
          <w14:ligatures w14:val="none"/>
        </w:rPr>
        <w:t>Afferte</w:t>
      </w:r>
      <w:r w:rsidRPr="00C31F0C">
        <w:rPr>
          <w:rFonts w:eastAsia="Times New Roman" w:cs="Times New Roman"/>
          <w:kern w:val="0"/>
          <w:szCs w:val="24"/>
          <w:lang w:eastAsia="en-AU"/>
          <w14:ligatures w14:val="none"/>
        </w:rPr>
        <w:t xml:space="preserve">, v. </w:t>
      </w:r>
      <w:r w:rsidRPr="00C31F0C">
        <w:rPr>
          <w:rFonts w:eastAsia="Times New Roman" w:cs="Times New Roman"/>
          <w:i/>
          <w:iCs/>
          <w:kern w:val="0"/>
          <w:szCs w:val="24"/>
          <w:lang w:eastAsia="en-AU"/>
          <w14:ligatures w14:val="none"/>
        </w:rPr>
        <w:t>Data</w:t>
      </w:r>
      <w:r w:rsidRPr="00C31F0C">
        <w:rPr>
          <w:rFonts w:eastAsia="Times New Roman" w:cs="Times New Roman"/>
          <w:kern w:val="0"/>
          <w:szCs w:val="24"/>
          <w:lang w:eastAsia="en-AU"/>
          <w14:ligatures w14:val="none"/>
        </w:rPr>
        <w:t xml:space="preserve">, and </w:t>
      </w:r>
      <w:r w:rsidRPr="00C31F0C">
        <w:rPr>
          <w:rFonts w:eastAsia="Times New Roman" w:cs="Times New Roman"/>
          <w:i/>
          <w:iCs/>
          <w:kern w:val="0"/>
          <w:szCs w:val="24"/>
          <w:lang w:eastAsia="en-AU"/>
          <w14:ligatures w14:val="none"/>
        </w:rPr>
        <w:t>De sponsalibus et matrimoniis</w:t>
      </w:r>
      <w:r w:rsidRPr="00C31F0C">
        <w:rPr>
          <w:rFonts w:eastAsia="Times New Roman" w:cs="Times New Roman"/>
          <w:kern w:val="0"/>
          <w:szCs w:val="24"/>
          <w:lang w:eastAsia="en-AU"/>
          <w14:ligatures w14:val="none"/>
        </w:rPr>
        <w:t xml:space="preserve">, c. </w:t>
      </w:r>
      <w:r w:rsidRPr="00C31F0C">
        <w:rPr>
          <w:rFonts w:eastAsia="Times New Roman" w:cs="Times New Roman"/>
          <w:i/>
          <w:iCs/>
          <w:kern w:val="0"/>
          <w:szCs w:val="24"/>
          <w:lang w:eastAsia="en-AU"/>
          <w14:ligatures w14:val="none"/>
        </w:rPr>
        <w:t>Is qui</w:t>
      </w:r>
      <w:r w:rsidRPr="00C31F0C">
        <w:rPr>
          <w:rFonts w:eastAsia="Times New Roman" w:cs="Times New Roman"/>
          <w:kern w:val="0"/>
          <w:szCs w:val="24"/>
          <w:lang w:eastAsia="en-AU"/>
          <w14:ligatures w14:val="none"/>
        </w:rPr>
        <w:t xml:space="preserve">, v. </w:t>
      </w:r>
      <w:r w:rsidRPr="00C31F0C">
        <w:rPr>
          <w:rFonts w:eastAsia="Times New Roman" w:cs="Times New Roman"/>
          <w:i/>
          <w:iCs/>
          <w:kern w:val="0"/>
          <w:szCs w:val="24"/>
          <w:lang w:eastAsia="en-AU"/>
          <w14:ligatures w14:val="none"/>
        </w:rPr>
        <w:t>Contra presumptionem</w:t>
      </w:r>
      <w:r w:rsidRPr="00C31F0C">
        <w:rPr>
          <w:rFonts w:eastAsia="Times New Roman" w:cs="Times New Roman"/>
          <w:kern w:val="0"/>
          <w:szCs w:val="24"/>
          <w:lang w:eastAsia="en-AU"/>
          <w14:ligatures w14:val="none"/>
        </w:rPr>
        <w:t xml:space="preserve">, in </w:t>
      </w:r>
      <w:r w:rsidRPr="00C31F0C">
        <w:rPr>
          <w:rFonts w:eastAsia="Times New Roman" w:cs="Times New Roman"/>
          <w:i/>
          <w:iCs/>
          <w:kern w:val="0"/>
          <w:szCs w:val="24"/>
          <w:lang w:eastAsia="en-AU"/>
          <w14:ligatures w14:val="none"/>
        </w:rPr>
        <w:t>Corpus iuris canonici</w:t>
      </w:r>
      <w:r w:rsidRPr="00C31F0C">
        <w:rPr>
          <w:rFonts w:eastAsia="Times New Roman" w:cs="Times New Roman"/>
          <w:kern w:val="0"/>
          <w:szCs w:val="24"/>
          <w:lang w:eastAsia="en-AU"/>
          <w14:ligatures w14:val="none"/>
        </w:rPr>
        <w:t xml:space="preserve"> (Lyons, 1671), vol. 2, cols. 786, 1443.</w:t>
      </w:r>
    </w:p>
    <w:p w14:paraId="1B90842C"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7" w:name="NOTE29"/>
      <w:bookmarkEnd w:id="27"/>
      <w:r w:rsidRPr="00C31F0C">
        <w:rPr>
          <w:rFonts w:eastAsia="Times New Roman" w:cs="Times New Roman"/>
          <w:b/>
          <w:bCs/>
          <w:kern w:val="0"/>
          <w:szCs w:val="24"/>
          <w:lang w:eastAsia="en-AU"/>
          <w14:ligatures w14:val="none"/>
        </w:rPr>
        <w:t>Note 29.</w:t>
      </w:r>
      <w:r w:rsidRPr="00C31F0C">
        <w:rPr>
          <w:rFonts w:eastAsia="Times New Roman" w:cs="Times New Roman"/>
          <w:kern w:val="0"/>
          <w:szCs w:val="24"/>
          <w:lang w:eastAsia="en-AU"/>
          <w14:ligatures w14:val="none"/>
        </w:rPr>
        <w:t xml:space="preserve"> 'Ockham was particularly insistent that a pope who erred in pronouncing on a question of </w:t>
      </w:r>
      <w:r w:rsidRPr="00C31F0C">
        <w:rPr>
          <w:rFonts w:eastAsia="Times New Roman" w:cs="Times New Roman"/>
          <w:kern w:val="0"/>
          <w:szCs w:val="24"/>
          <w:lang w:eastAsia="en-AU"/>
          <w14:ligatures w14:val="none"/>
        </w:rPr>
        <w:lastRenderedPageBreak/>
        <w:t>faith became at once a heretic... Earlier theologians... had taught that a pope... became a heretic only if he obdurately persisted in maintaining a false doctrine after his error had been pointed out to him' (Tierney, pp. 215-6). Ockham could answer that if a pope solemnly asserts an error as Catholic truth to be held irrevocably, there is already, without examination, at least a strong presumption that he is obdurate, i.e. pertinacious.</w:t>
      </w:r>
    </w:p>
    <w:p w14:paraId="122B42D6"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8" w:name="NOTE30"/>
      <w:bookmarkEnd w:id="28"/>
      <w:r w:rsidRPr="00C31F0C">
        <w:rPr>
          <w:rFonts w:eastAsia="Times New Roman" w:cs="Times New Roman"/>
          <w:b/>
          <w:bCs/>
          <w:kern w:val="0"/>
          <w:szCs w:val="24"/>
          <w:lang w:eastAsia="en-AU"/>
          <w14:ligatures w14:val="none"/>
        </w:rPr>
        <w:t>Note 30.</w:t>
      </w:r>
      <w:r w:rsidRPr="00C31F0C">
        <w:rPr>
          <w:rFonts w:eastAsia="Times New Roman" w:cs="Times New Roman"/>
          <w:kern w:val="0"/>
          <w:szCs w:val="24"/>
          <w:lang w:eastAsia="en-AU"/>
          <w14:ligatures w14:val="none"/>
        </w:rPr>
        <w:t xml:space="preserve"> Similarly Professor Ryan attributes to him the view that 'every truth must prove itself Catholic by being accepted without contradiction </w:t>
      </w:r>
      <w:r w:rsidRPr="00C31F0C">
        <w:rPr>
          <w:rFonts w:eastAsia="Times New Roman" w:cs="Times New Roman"/>
          <w:i/>
          <w:iCs/>
          <w:kern w:val="0"/>
          <w:szCs w:val="24"/>
          <w:lang w:eastAsia="en-AU"/>
          <w14:ligatures w14:val="none"/>
        </w:rPr>
        <w:t>by every Catholic</w:t>
      </w:r>
      <w:r w:rsidRPr="00C31F0C">
        <w:rPr>
          <w:rFonts w:eastAsia="Times New Roman" w:cs="Times New Roman"/>
          <w:kern w:val="0"/>
          <w:szCs w:val="24"/>
          <w:lang w:eastAsia="en-AU"/>
          <w14:ligatures w14:val="none"/>
        </w:rPr>
        <w:t>!', and 'is tempted to wonder whether Ockham is serious about this absurd and impossible condition' (</w:t>
      </w:r>
      <w:r w:rsidRPr="00C31F0C">
        <w:rPr>
          <w:rFonts w:eastAsia="Times New Roman" w:cs="Times New Roman"/>
          <w:i/>
          <w:iCs/>
          <w:kern w:val="0"/>
          <w:szCs w:val="24"/>
          <w:lang w:eastAsia="en-AU"/>
          <w14:ligatures w14:val="none"/>
        </w:rPr>
        <w:t>Nature</w:t>
      </w:r>
      <w:r w:rsidRPr="00C31F0C">
        <w:rPr>
          <w:rFonts w:eastAsia="Times New Roman" w:cs="Times New Roman"/>
          <w:kern w:val="0"/>
          <w:szCs w:val="24"/>
          <w:lang w:eastAsia="en-AU"/>
          <w14:ligatures w14:val="none"/>
        </w:rPr>
        <w:t>, pp. 14-5, and cf. 'Dilemma', p. 46). (Ockham does say: 'If only one should dissent, such a truth should not be accepted'. But what is the reference of the 'such'? In the context (14v b23-43) it refers to new revelation to be authenticated by miraculous universal consent.) Like Professor Tierney, Professor Ryan thinks that Ockham's 'Church-thinking has no ultimate coherence', that it contains 'intolerable tensions and ultimate contradictions' (</w:t>
      </w:r>
      <w:r w:rsidRPr="00C31F0C">
        <w:rPr>
          <w:rFonts w:eastAsia="Times New Roman" w:cs="Times New Roman"/>
          <w:i/>
          <w:iCs/>
          <w:kern w:val="0"/>
          <w:szCs w:val="24"/>
          <w:lang w:eastAsia="en-AU"/>
          <w14:ligatures w14:val="none"/>
        </w:rPr>
        <w:t>Nature</w:t>
      </w:r>
      <w:r w:rsidRPr="00C31F0C">
        <w:rPr>
          <w:rFonts w:eastAsia="Times New Roman" w:cs="Times New Roman"/>
          <w:kern w:val="0"/>
          <w:szCs w:val="24"/>
          <w:lang w:eastAsia="en-AU"/>
          <w14:ligatures w14:val="none"/>
        </w:rPr>
        <w:t>, p. 63).</w:t>
      </w:r>
    </w:p>
    <w:p w14:paraId="20AFBDB9"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29" w:name="NOTE31"/>
      <w:bookmarkEnd w:id="29"/>
      <w:r w:rsidRPr="00C31F0C">
        <w:rPr>
          <w:rFonts w:eastAsia="Times New Roman" w:cs="Times New Roman"/>
          <w:b/>
          <w:bCs/>
          <w:kern w:val="0"/>
          <w:szCs w:val="24"/>
          <w:lang w:eastAsia="en-AU"/>
          <w14:ligatures w14:val="none"/>
        </w:rPr>
        <w:t>Note 31.</w:t>
      </w:r>
      <w:r w:rsidRPr="00C31F0C">
        <w:rPr>
          <w:rFonts w:eastAsia="Times New Roman" w:cs="Times New Roman"/>
          <w:kern w:val="0"/>
          <w:szCs w:val="24"/>
          <w:lang w:eastAsia="en-AU"/>
          <w14:ligatures w14:val="none"/>
        </w:rPr>
        <w:t xml:space="preserve"> It may be objected that there a circle here -- Catholic truth is what all Catholics of the day believe, and the Catholics of the day are those who believe Catholic truth. But this is not Ockham's position. Rather, some Catholics may reject or doubt (not pertinaciously) some Catholic truths, and some Catholic truths can be known to be such (from the Bible, or by the consensus of some other day) even though they are now rejected by some who are Catholics. Catholic truth does not consist simply in what all Catholics of the day belief, but is what is objectively in the sources of the faith; and Catholics are not precisely those who believe Catholic truth, since some Catholics may disbelieve some Catholic truths.</w:t>
      </w:r>
    </w:p>
    <w:p w14:paraId="110E1B9B"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30" w:name="NOTE32"/>
      <w:bookmarkEnd w:id="30"/>
      <w:r w:rsidRPr="00C31F0C">
        <w:rPr>
          <w:rFonts w:eastAsia="Times New Roman" w:cs="Times New Roman"/>
          <w:b/>
          <w:bCs/>
          <w:kern w:val="0"/>
          <w:szCs w:val="24"/>
          <w:lang w:eastAsia="en-AU"/>
          <w14:ligatures w14:val="none"/>
        </w:rPr>
        <w:t>Note 32.</w:t>
      </w:r>
      <w:r w:rsidRPr="00C31F0C">
        <w:rPr>
          <w:rFonts w:eastAsia="Times New Roman" w:cs="Times New Roman"/>
          <w:kern w:val="0"/>
          <w:szCs w:val="24"/>
          <w:lang w:eastAsia="en-AU"/>
          <w14:ligatures w14:val="none"/>
        </w:rPr>
        <w:t xml:space="preserve"> Professor Tierney may acknowledge this on pp. 228-9, but he seems to have forgotten it by p. 235: 'After all, if the only truths of religion that we can know with final certitude are those that all Christians have always believed unanimously then we are left with the barest essentials of the faith -- that there is a God, that he is revealed to men in the life and death of his son, Jesus Christ -- not much </w:t>
      </w:r>
      <w:r w:rsidRPr="00C31F0C">
        <w:rPr>
          <w:rFonts w:eastAsia="Times New Roman" w:cs="Times New Roman"/>
          <w:kern w:val="0"/>
          <w:szCs w:val="24"/>
          <w:lang w:eastAsia="en-AU"/>
          <w14:ligatures w14:val="none"/>
        </w:rPr>
        <w:lastRenderedPageBreak/>
        <w:t>more'. This loses its sting if we must add: 'and whatever else can be learnt from the Bible'.</w:t>
      </w:r>
    </w:p>
    <w:p w14:paraId="6545C207"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31" w:name="NOTE33"/>
      <w:bookmarkEnd w:id="31"/>
      <w:r w:rsidRPr="00C31F0C">
        <w:rPr>
          <w:rFonts w:eastAsia="Times New Roman" w:cs="Times New Roman"/>
          <w:b/>
          <w:bCs/>
          <w:kern w:val="0"/>
          <w:szCs w:val="24"/>
          <w:lang w:eastAsia="en-AU"/>
          <w14:ligatures w14:val="none"/>
        </w:rPr>
        <w:t>Note 33.</w:t>
      </w:r>
      <w:r w:rsidRPr="00C31F0C">
        <w:rPr>
          <w:rFonts w:eastAsia="Times New Roman" w:cs="Times New Roman"/>
          <w:kern w:val="0"/>
          <w:szCs w:val="24"/>
          <w:lang w:eastAsia="en-AU"/>
          <w14:ligatures w14:val="none"/>
        </w:rPr>
        <w:t xml:space="preserve"> In EFM, 15.23-7, Ockham says that he would believe that the Church has been reduced to himself alone sooner than believe John's errors. He continues: 'on the example of Elias the prophet, who, though he believed [mistakenly, 3 Kgs. 19:18] that he had been left God's only worshipper, yet did not desert the true faith; though now I will not doubt that many thousands of men and women have by no means bent the knee of their faith to Baal' -- i.e. the Church has not been reduced to himself alone; EFM, 16.1-4. Whether the Church ever will be reduced to a small remnant no one can know unless God reveals it (Dial., 51r a26-37, b8-19).</w:t>
      </w:r>
    </w:p>
    <w:p w14:paraId="403173A4"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32" w:name="NOTE34"/>
      <w:bookmarkEnd w:id="32"/>
      <w:r w:rsidRPr="00C31F0C">
        <w:rPr>
          <w:rFonts w:eastAsia="Times New Roman" w:cs="Times New Roman"/>
          <w:b/>
          <w:bCs/>
          <w:kern w:val="0"/>
          <w:szCs w:val="24"/>
          <w:lang w:eastAsia="en-AU"/>
          <w14:ligatures w14:val="none"/>
        </w:rPr>
        <w:t>Note 34.</w:t>
      </w:r>
      <w:r w:rsidRPr="00C31F0C">
        <w:rPr>
          <w:rFonts w:eastAsia="Times New Roman" w:cs="Times New Roman"/>
          <w:kern w:val="0"/>
          <w:szCs w:val="24"/>
          <w:lang w:eastAsia="en-AU"/>
          <w14:ligatures w14:val="none"/>
        </w:rPr>
        <w:t xml:space="preserve"> The Master says: 'Where the Catholic faith could be saved by the mere binding or captivity of an heretical pope the laity should not proceed to any further penalty; but if danger to the faith were feared with probability from an heretical pope merely detained in captivity, and the faith could be saved by his death, the laity, with zeal for the orthodox faith, could proceed to the bodily death of a heretic pope' (Dial., 110r a3-9). What Ockham approves here is deplorable. But it is exceptional, an act of war, not a regular judicial penalty. Compare the opinion (probably Ockham's own) that if all else fails a peasant could, </w:t>
      </w:r>
      <w:r w:rsidRPr="00C31F0C">
        <w:rPr>
          <w:rFonts w:eastAsia="Times New Roman" w:cs="Times New Roman"/>
          <w:i/>
          <w:iCs/>
          <w:kern w:val="0"/>
          <w:szCs w:val="24"/>
          <w:lang w:eastAsia="en-AU"/>
          <w14:ligatures w14:val="none"/>
        </w:rPr>
        <w:t>casualiter</w:t>
      </w:r>
      <w:r w:rsidRPr="00C31F0C">
        <w:rPr>
          <w:rFonts w:eastAsia="Times New Roman" w:cs="Times New Roman"/>
          <w:kern w:val="0"/>
          <w:szCs w:val="24"/>
          <w:lang w:eastAsia="en-AU"/>
          <w14:ligatures w14:val="none"/>
        </w:rPr>
        <w:t>, kill a tyrant emperor (OQ, 199.21-32, 201.69-70).</w:t>
      </w:r>
    </w:p>
    <w:p w14:paraId="442E2009"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33" w:name="NOTE35"/>
      <w:bookmarkEnd w:id="33"/>
      <w:r w:rsidRPr="00C31F0C">
        <w:rPr>
          <w:rFonts w:eastAsia="Times New Roman" w:cs="Times New Roman"/>
          <w:b/>
          <w:bCs/>
          <w:kern w:val="0"/>
          <w:szCs w:val="24"/>
          <w:lang w:eastAsia="en-AU"/>
          <w14:ligatures w14:val="none"/>
        </w:rPr>
        <w:t>Note 35.</w:t>
      </w:r>
      <w:r w:rsidRPr="00C31F0C">
        <w:rPr>
          <w:rFonts w:eastAsia="Times New Roman" w:cs="Times New Roman"/>
          <w:kern w:val="0"/>
          <w:szCs w:val="24"/>
          <w:lang w:eastAsia="en-AU"/>
          <w14:ligatures w14:val="none"/>
        </w:rPr>
        <w:t xml:space="preserve"> See A.S. McGrade, </w:t>
      </w:r>
      <w:r w:rsidRPr="00C31F0C">
        <w:rPr>
          <w:rFonts w:eastAsia="Times New Roman" w:cs="Times New Roman"/>
          <w:i/>
          <w:iCs/>
          <w:kern w:val="0"/>
          <w:szCs w:val="24"/>
          <w:lang w:eastAsia="en-AU"/>
          <w14:ligatures w14:val="none"/>
        </w:rPr>
        <w:t>The Political Thought of William of Ockham</w:t>
      </w:r>
      <w:r w:rsidRPr="00C31F0C">
        <w:rPr>
          <w:rFonts w:eastAsia="Times New Roman" w:cs="Times New Roman"/>
          <w:kern w:val="0"/>
          <w:szCs w:val="24"/>
          <w:lang w:eastAsia="en-AU"/>
          <w14:ligatures w14:val="none"/>
        </w:rPr>
        <w:t>, pp. 48-74, to which I am much indebted.</w:t>
      </w:r>
    </w:p>
    <w:p w14:paraId="388FE1B8" w14:textId="77777777" w:rsidR="00C31F0C" w:rsidRPr="00C31F0C" w:rsidRDefault="00C31F0C" w:rsidP="00C31F0C">
      <w:pPr>
        <w:spacing w:before="100" w:beforeAutospacing="1" w:after="100" w:afterAutospacing="1" w:line="240" w:lineRule="auto"/>
        <w:rPr>
          <w:rFonts w:eastAsia="Times New Roman" w:cs="Times New Roman"/>
          <w:kern w:val="0"/>
          <w:szCs w:val="24"/>
          <w:lang w:eastAsia="en-AU"/>
          <w14:ligatures w14:val="none"/>
        </w:rPr>
      </w:pPr>
      <w:bookmarkStart w:id="34" w:name="NOTE36"/>
      <w:bookmarkEnd w:id="34"/>
      <w:r w:rsidRPr="00C31F0C">
        <w:rPr>
          <w:rFonts w:eastAsia="Times New Roman" w:cs="Times New Roman"/>
          <w:b/>
          <w:bCs/>
          <w:kern w:val="0"/>
          <w:szCs w:val="24"/>
          <w:lang w:eastAsia="en-AU"/>
          <w14:ligatures w14:val="none"/>
        </w:rPr>
        <w:t>Note 36.</w:t>
      </w:r>
      <w:r w:rsidRPr="00C31F0C">
        <w:rPr>
          <w:rFonts w:eastAsia="Times New Roman" w:cs="Times New Roman"/>
          <w:kern w:val="0"/>
          <w:szCs w:val="24"/>
          <w:lang w:eastAsia="en-AU"/>
          <w14:ligatures w14:val="none"/>
        </w:rPr>
        <w:t xml:space="preserve"> I am grateful to Stephen Gaukroger and other participants in the Sydney University Seminar in Intellectual History, to whom I read a version of this paper.</w:t>
      </w:r>
    </w:p>
    <w:p w14:paraId="638C3859" w14:textId="77777777" w:rsidR="00F84528" w:rsidRPr="00C31F0C" w:rsidRDefault="00F84528" w:rsidP="00C31F0C"/>
    <w:sectPr w:rsidR="00F84528" w:rsidRPr="00C31F0C" w:rsidSect="00F367A2">
      <w:pgSz w:w="7938"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31F0C"/>
    <w:rsid w:val="00195EEC"/>
    <w:rsid w:val="00370B30"/>
    <w:rsid w:val="00504527"/>
    <w:rsid w:val="0080402C"/>
    <w:rsid w:val="00B31BEA"/>
    <w:rsid w:val="00C20CFB"/>
    <w:rsid w:val="00C31F0C"/>
    <w:rsid w:val="00F367A2"/>
    <w:rsid w:val="00F84528"/>
    <w:rsid w:val="00FF1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3A69"/>
  <w15:chartTrackingRefBased/>
  <w15:docId w15:val="{4343C4E9-7399-48F5-9679-F4138DC3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FB"/>
    <w:pPr>
      <w:spacing w:after="120"/>
    </w:pPr>
    <w:rPr>
      <w:rFonts w:ascii="Times New Roman" w:hAnsi="Times New Roman"/>
      <w:sz w:val="24"/>
    </w:rPr>
  </w:style>
  <w:style w:type="paragraph" w:styleId="Heading1">
    <w:name w:val="heading 1"/>
    <w:basedOn w:val="Normal"/>
    <w:next w:val="Normal"/>
    <w:link w:val="Heading1Char"/>
    <w:autoRedefine/>
    <w:uiPriority w:val="9"/>
    <w:qFormat/>
    <w:rsid w:val="00C20CFB"/>
    <w:pPr>
      <w:keepNext/>
      <w:keepLines/>
      <w:spacing w:before="240" w:after="0"/>
      <w:jc w:val="center"/>
      <w:outlineLvl w:val="0"/>
    </w:pPr>
    <w:rPr>
      <w:rFonts w:ascii="Garamond" w:eastAsiaTheme="majorEastAsia" w:hAnsi="Garamond" w:cstheme="majorBidi"/>
      <w:b/>
      <w:i/>
      <w:caps/>
      <w:color w:val="000000" w:themeColor="text1"/>
      <w:sz w:val="36"/>
      <w:szCs w:val="32"/>
    </w:rPr>
  </w:style>
  <w:style w:type="paragraph" w:styleId="Heading2">
    <w:name w:val="heading 2"/>
    <w:basedOn w:val="Normal"/>
    <w:next w:val="Normal"/>
    <w:link w:val="Heading2Char"/>
    <w:autoRedefine/>
    <w:uiPriority w:val="9"/>
    <w:unhideWhenUsed/>
    <w:qFormat/>
    <w:rsid w:val="00C20CFB"/>
    <w:pPr>
      <w:keepNext/>
      <w:keepLines/>
      <w:spacing w:before="120"/>
      <w:jc w:val="center"/>
      <w:outlineLvl w:val="1"/>
    </w:pPr>
    <w:rPr>
      <w:rFonts w:ascii="Garamond" w:eastAsiaTheme="majorEastAsia" w:hAnsi="Garamond" w:cstheme="majorBidi"/>
      <w:b/>
      <w:i/>
      <w:caps/>
      <w:color w:val="000000" w:themeColor="text1"/>
      <w:sz w:val="32"/>
      <w:szCs w:val="26"/>
      <w:u w:val="single"/>
    </w:rPr>
  </w:style>
  <w:style w:type="paragraph" w:styleId="Heading3">
    <w:name w:val="heading 3"/>
    <w:basedOn w:val="Normal"/>
    <w:next w:val="Normal"/>
    <w:link w:val="Heading3Char"/>
    <w:autoRedefine/>
    <w:uiPriority w:val="9"/>
    <w:unhideWhenUsed/>
    <w:qFormat/>
    <w:rsid w:val="00C20CFB"/>
    <w:pPr>
      <w:keepNext/>
      <w:keepLines/>
      <w:spacing w:before="120"/>
      <w:jc w:val="center"/>
      <w:outlineLvl w:val="2"/>
    </w:pPr>
    <w:rPr>
      <w:rFonts w:ascii="Garamond" w:eastAsiaTheme="majorEastAsia" w:hAnsi="Garamond" w:cstheme="majorBidi"/>
      <w:b/>
      <w:i/>
      <w:smallCaps/>
      <w:sz w:val="28"/>
      <w:szCs w:val="24"/>
      <w:u w:val="single"/>
    </w:rPr>
  </w:style>
  <w:style w:type="paragraph" w:styleId="Heading4">
    <w:name w:val="heading 4"/>
    <w:basedOn w:val="Normal"/>
    <w:next w:val="Normal"/>
    <w:link w:val="Heading4Char"/>
    <w:autoRedefine/>
    <w:uiPriority w:val="9"/>
    <w:unhideWhenUsed/>
    <w:qFormat/>
    <w:rsid w:val="00C20CFB"/>
    <w:pPr>
      <w:keepNext/>
      <w:keepLines/>
      <w:spacing w:before="120"/>
      <w:jc w:val="center"/>
      <w:outlineLvl w:val="3"/>
    </w:pPr>
    <w:rPr>
      <w:rFonts w:ascii="Garamond" w:eastAsiaTheme="majorEastAsia" w:hAnsi="Garamond" w:cstheme="majorBidi"/>
      <w:b/>
      <w:i/>
      <w:iCs/>
      <w:smallCaps/>
      <w:u w:val="single"/>
    </w:rPr>
  </w:style>
  <w:style w:type="paragraph" w:styleId="Heading5">
    <w:name w:val="heading 5"/>
    <w:basedOn w:val="Normal"/>
    <w:next w:val="Normal"/>
    <w:link w:val="Heading5Char"/>
    <w:autoRedefine/>
    <w:uiPriority w:val="9"/>
    <w:unhideWhenUsed/>
    <w:qFormat/>
    <w:rsid w:val="00C20CFB"/>
    <w:pPr>
      <w:keepNext/>
      <w:keepLines/>
      <w:spacing w:before="40" w:after="0"/>
      <w:outlineLvl w:val="4"/>
    </w:pPr>
    <w:rPr>
      <w:rFonts w:ascii="Garamond" w:eastAsiaTheme="majorEastAsia" w:hAnsi="Garamond" w:cstheme="majorBidi"/>
      <w:b/>
      <w:i/>
      <w:smallCaps/>
      <w:sz w:val="28"/>
      <w:u w:val="single"/>
    </w:rPr>
  </w:style>
  <w:style w:type="paragraph" w:styleId="Heading6">
    <w:name w:val="heading 6"/>
    <w:basedOn w:val="Normal"/>
    <w:next w:val="Normal"/>
    <w:link w:val="Heading6Char"/>
    <w:autoRedefine/>
    <w:uiPriority w:val="9"/>
    <w:unhideWhenUsed/>
    <w:qFormat/>
    <w:rsid w:val="00C20CFB"/>
    <w:pPr>
      <w:keepNext/>
      <w:keepLines/>
      <w:spacing w:before="120"/>
      <w:outlineLvl w:val="5"/>
    </w:pPr>
    <w:rPr>
      <w:rFonts w:ascii="Garamond" w:eastAsiaTheme="majorEastAsia" w:hAnsi="Garamond" w:cstheme="majorBidi"/>
      <w:b/>
      <w:i/>
      <w:small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0CFB"/>
    <w:rPr>
      <w:rFonts w:ascii="Garamond" w:eastAsiaTheme="majorEastAsia" w:hAnsi="Garamond" w:cstheme="majorBidi"/>
      <w:b/>
      <w:i/>
      <w:smallCaps/>
      <w:sz w:val="28"/>
      <w:szCs w:val="24"/>
      <w:u w:val="single"/>
    </w:rPr>
  </w:style>
  <w:style w:type="character" w:customStyle="1" w:styleId="Heading4Char">
    <w:name w:val="Heading 4 Char"/>
    <w:basedOn w:val="DefaultParagraphFont"/>
    <w:link w:val="Heading4"/>
    <w:uiPriority w:val="9"/>
    <w:rsid w:val="00C20CFB"/>
    <w:rPr>
      <w:rFonts w:ascii="Garamond" w:eastAsiaTheme="majorEastAsia" w:hAnsi="Garamond" w:cstheme="majorBidi"/>
      <w:b/>
      <w:i/>
      <w:iCs/>
      <w:smallCaps/>
      <w:sz w:val="24"/>
      <w:u w:val="single"/>
    </w:rPr>
  </w:style>
  <w:style w:type="character" w:customStyle="1" w:styleId="Heading2Char">
    <w:name w:val="Heading 2 Char"/>
    <w:basedOn w:val="DefaultParagraphFont"/>
    <w:link w:val="Heading2"/>
    <w:uiPriority w:val="9"/>
    <w:rsid w:val="00C20CFB"/>
    <w:rPr>
      <w:rFonts w:ascii="Garamond" w:eastAsiaTheme="majorEastAsia" w:hAnsi="Garamond" w:cstheme="majorBidi"/>
      <w:b/>
      <w:i/>
      <w:caps/>
      <w:color w:val="000000" w:themeColor="text1"/>
      <w:sz w:val="32"/>
      <w:szCs w:val="26"/>
      <w:u w:val="single"/>
    </w:rPr>
  </w:style>
  <w:style w:type="character" w:customStyle="1" w:styleId="Heading1Char">
    <w:name w:val="Heading 1 Char"/>
    <w:basedOn w:val="DefaultParagraphFont"/>
    <w:link w:val="Heading1"/>
    <w:uiPriority w:val="9"/>
    <w:rsid w:val="00C20CFB"/>
    <w:rPr>
      <w:rFonts w:ascii="Garamond" w:eastAsiaTheme="majorEastAsia" w:hAnsi="Garamond" w:cstheme="majorBidi"/>
      <w:b/>
      <w:i/>
      <w:caps/>
      <w:color w:val="000000" w:themeColor="text1"/>
      <w:sz w:val="36"/>
      <w:szCs w:val="32"/>
    </w:rPr>
  </w:style>
  <w:style w:type="character" w:customStyle="1" w:styleId="Heading5Char">
    <w:name w:val="Heading 5 Char"/>
    <w:basedOn w:val="DefaultParagraphFont"/>
    <w:link w:val="Heading5"/>
    <w:uiPriority w:val="9"/>
    <w:rsid w:val="00C20CFB"/>
    <w:rPr>
      <w:rFonts w:ascii="Garamond" w:eastAsiaTheme="majorEastAsia" w:hAnsi="Garamond" w:cstheme="majorBidi"/>
      <w:b/>
      <w:i/>
      <w:smallCaps/>
      <w:sz w:val="28"/>
      <w:u w:val="single"/>
    </w:rPr>
  </w:style>
  <w:style w:type="character" w:customStyle="1" w:styleId="Heading6Char">
    <w:name w:val="Heading 6 Char"/>
    <w:basedOn w:val="DefaultParagraphFont"/>
    <w:link w:val="Heading6"/>
    <w:uiPriority w:val="9"/>
    <w:rsid w:val="00C20CFB"/>
    <w:rPr>
      <w:rFonts w:ascii="Garamond" w:eastAsiaTheme="majorEastAsia" w:hAnsi="Garamond" w:cstheme="majorBidi"/>
      <w:b/>
      <w:i/>
      <w:smallCaps/>
      <w:sz w:val="24"/>
      <w:u w:val="single"/>
    </w:rPr>
  </w:style>
  <w:style w:type="paragraph" w:styleId="NormalWeb">
    <w:name w:val="Normal (Web)"/>
    <w:basedOn w:val="Normal"/>
    <w:uiPriority w:val="99"/>
    <w:semiHidden/>
    <w:unhideWhenUsed/>
    <w:rsid w:val="00195EEC"/>
    <w:pPr>
      <w:spacing w:before="100" w:beforeAutospacing="1" w:after="100" w:afterAutospacing="1" w:line="240" w:lineRule="auto"/>
    </w:pPr>
    <w:rPr>
      <w:rFonts w:eastAsia="Times New Roman" w:cs="Times New Roman"/>
      <w:kern w:val="0"/>
      <w:szCs w:val="24"/>
      <w:lang w:eastAsia="en-AU"/>
    </w:rPr>
  </w:style>
  <w:style w:type="character" w:styleId="Strong">
    <w:name w:val="Strong"/>
    <w:basedOn w:val="DefaultParagraphFont"/>
    <w:uiPriority w:val="22"/>
    <w:qFormat/>
    <w:rsid w:val="00370B30"/>
    <w:rPr>
      <w:b/>
      <w:bCs/>
    </w:rPr>
  </w:style>
  <w:style w:type="character" w:styleId="Emphasis">
    <w:name w:val="Emphasis"/>
    <w:basedOn w:val="DefaultParagraphFont"/>
    <w:uiPriority w:val="20"/>
    <w:qFormat/>
    <w:rsid w:val="00C31F0C"/>
    <w:rPr>
      <w:i/>
      <w:iCs/>
    </w:rPr>
  </w:style>
  <w:style w:type="character" w:styleId="Hyperlink">
    <w:name w:val="Hyperlink"/>
    <w:basedOn w:val="DefaultParagraphFont"/>
    <w:uiPriority w:val="99"/>
    <w:semiHidden/>
    <w:unhideWhenUsed/>
    <w:rsid w:val="00C31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0355">
      <w:bodyDiv w:val="1"/>
      <w:marLeft w:val="0"/>
      <w:marRight w:val="0"/>
      <w:marTop w:val="0"/>
      <w:marBottom w:val="0"/>
      <w:divBdr>
        <w:top w:val="none" w:sz="0" w:space="0" w:color="auto"/>
        <w:left w:val="none" w:sz="0" w:space="0" w:color="auto"/>
        <w:bottom w:val="none" w:sz="0" w:space="0" w:color="auto"/>
        <w:right w:val="none" w:sz="0" w:space="0" w:color="auto"/>
      </w:divBdr>
    </w:div>
    <w:div w:id="20548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s.thebritishacademy.ac.uk/pubs/dialogus/winf.html" TargetMode="External"/><Relationship Id="rId4" Type="http://schemas.openxmlformats.org/officeDocument/2006/relationships/hyperlink" Target="http://britac3.britac.ac.uk/ockd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Kilcullen</dc:creator>
  <cp:keywords/>
  <dc:description/>
  <cp:lastModifiedBy>John Kilcullen</cp:lastModifiedBy>
  <cp:revision>3</cp:revision>
  <dcterms:created xsi:type="dcterms:W3CDTF">2024-02-01T09:08:00Z</dcterms:created>
  <dcterms:modified xsi:type="dcterms:W3CDTF">2024-02-01T09:12:00Z</dcterms:modified>
</cp:coreProperties>
</file>